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X6b1012b8699e1d47aecd8c31690457a138f33ce"/>
    <w:p>
      <w:pPr>
        <w:pStyle w:val="Heading1"/>
      </w:pPr>
      <w:r>
        <w:t xml:space="preserve">Quantum Analytics &amp; Statistical Consulting, Inc.</w:t>
      </w:r>
    </w:p>
    <w:p>
      <w:pPr>
        <w:pStyle w:val="FirstParagraph"/>
      </w:pPr>
      <w:r>
        <w:t xml:space="preserve">Unit 1204, Ayala Center, Makati City</w:t>
      </w:r>
    </w:p>
    <w:p>
      <w:pPr>
        <w:pStyle w:val="BodyText"/>
      </w:pPr>
      <w:r>
        <w:t xml:space="preserve">Philippines Manila, Metro Manila 1226</w:t>
      </w:r>
    </w:p>
    <w:p>
      <w:pPr>
        <w:pStyle w:val="BodyText"/>
      </w:pPr>
      <w:r>
        <w:t xml:space="preserve">Tel: +63 (2) 8888-4521 | Email: billing@quantumanalytics.ph</w:t>
      </w:r>
    </w:p>
    <w:p>
      <w:pPr>
        <w:pStyle w:val="BodyText"/>
      </w:pPr>
      <w:r>
        <w:t xml:space="preserve">TIN: 000-123-456-000 | BIR-Registered</w:t>
      </w:r>
    </w:p>
    <w:bookmarkEnd w:id="20"/>
    <w:bookmarkStart w:id="21" w:name="invoice"/>
    <w:p>
      <w:pPr>
        <w:pStyle w:val="Heading2"/>
      </w:pPr>
      <w:r>
        <w:t xml:space="preserve">INVOICE</w:t>
      </w:r>
    </w:p>
    <w:p>
      <w:pPr>
        <w:pStyle w:val="FirstParagraph"/>
      </w:pPr>
      <w:r>
        <w:t xml:space="preserve">Invoice No.: QAS-2025-00472</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Philippine National Economic Research Institute</w:t>
      </w:r>
    </w:p>
    <w:p>
      <w:pPr>
        <w:pStyle w:val="BodyText"/>
      </w:pPr>
      <w:r>
        <w:t xml:space="preserve">Atenista Street, Intramuros</w:t>
      </w:r>
    </w:p>
    <w:p>
      <w:pPr>
        <w:pStyle w:val="BodyText"/>
      </w:pPr>
      <w:r>
        <w:t xml:space="preserve">Philippines Manila, Metro Manila 1001</w:t>
      </w:r>
    </w:p>
    <w:p>
      <w:pPr>
        <w:pStyle w:val="BodyText"/>
      </w:pPr>
      <w:r>
        <w:t xml:space="preserve">Attn: Dr. Maria Santos, Director of Research</w:t>
      </w:r>
    </w:p>
    <w:p>
      <w:pPr>
        <w:pStyle w:val="BodyText"/>
      </w:pPr>
      <w:r>
        <w:t xml:space="preserve">Contact: +63 (2) 8521-7700</w:t>
      </w:r>
    </w:p>
    <w:bookmarkEnd w:id="22"/>
    <w:bookmarkStart w:id="23" w:name="service-provider"/>
    <w:p>
      <w:pPr>
        <w:pStyle w:val="Heading3"/>
      </w:pPr>
      <w:r>
        <w:t xml:space="preserve">Service Provider</w:t>
      </w:r>
    </w:p>
    <w:p>
      <w:pPr>
        <w:pStyle w:val="FirstParagraph"/>
      </w:pPr>
      <w:r>
        <w:rPr>
          <w:bCs/>
          <w:b/>
        </w:rPr>
        <w:t xml:space="preserve">Quantum Analytics &amp; Statistical Consulting, Inc.</w:t>
      </w:r>
    </w:p>
    <w:p>
      <w:pPr>
        <w:pStyle w:val="BodyText"/>
      </w:pPr>
      <w:r>
        <w:t xml:space="preserve">Led by Senior Statistician Dr. James R. Dela Cruz</w:t>
      </w:r>
    </w:p>
    <w:p>
      <w:pPr>
        <w:pStyle w:val="BodyText"/>
      </w:pPr>
      <w:r>
        <w:t xml:space="preserve">Philippines Manila, Metro Manila 1226</w:t>
      </w:r>
    </w:p>
    <w:p>
      <w:pPr>
        <w:pStyle w:val="BodyText"/>
      </w:pPr>
      <w:r>
        <w:t xml:space="preserve">Professional Regulation Commission (PRC) License No. 123456</w:t>
      </w:r>
    </w:p>
    <w:bookmarkEnd w:id="23"/>
    <w:bookmarkStart w:id="24" w:name="project-reference"/>
    <w:p>
      <w:pPr>
        <w:pStyle w:val="Heading3"/>
      </w:pPr>
      <w:r>
        <w:t xml:space="preserve">Project Reference</w:t>
      </w:r>
    </w:p>
    <w:p>
      <w:pPr>
        <w:pStyle w:val="FirstParagraph"/>
      </w:pPr>
      <w:r>
        <w:t xml:space="preserve">Contract No.: PNERI-QAS-2025-089</w:t>
      </w:r>
    </w:p>
    <w:p>
      <w:pPr>
        <w:pStyle w:val="BodyText"/>
      </w:pPr>
      <w:r>
        <w:t xml:space="preserve">Scope: National Economic Data Analysis</w:t>
      </w:r>
    </w:p>
    <w:p>
      <w:pPr>
        <w:pStyle w:val="BodyText"/>
      </w:pPr>
      <w:r>
        <w:t xml:space="preserve">Period: January 2025 – May 2025</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Statistician – Econometric Modeling &amp; Regression Analysis for National GDP Projections (Philippines Manila regional data set)</w:t>
            </w:r>
          </w:p>
        </w:tc>
        <w:tc>
          <w:tcPr/>
          <w:p>
            <w:pPr>
              <w:pStyle w:val="Compact"/>
              <w:jc w:val="left"/>
            </w:pPr>
            <w:r>
              <w:t xml:space="preserve">120 hrs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Statistician – Design and Implementation of Multivariate Statistical Tests for Consumer Confidence Index (Metro Manila sample, n=15,000)</w:t>
            </w:r>
          </w:p>
        </w:tc>
        <w:tc>
          <w:tcPr/>
          <w:p>
            <w:pPr>
              <w:pStyle w:val="Compact"/>
              <w:jc w:val="left"/>
            </w:pPr>
            <w:r>
              <w:t xml:space="preserve">80 hrs</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3</w:t>
            </w:r>
          </w:p>
        </w:tc>
        <w:tc>
          <w:tcPr/>
          <w:p>
            <w:pPr>
              <w:pStyle w:val="Compact"/>
              <w:jc w:val="left"/>
            </w:pPr>
            <w:r>
              <w:t xml:space="preserve">Statistician – Bayesian Inference and Monte Carlo Simulation for Inflation Forecasting (Philippines Manila metropolitan area)</w:t>
            </w:r>
          </w:p>
        </w:tc>
        <w:tc>
          <w:tcPr/>
          <w:p>
            <w:pPr>
              <w:pStyle w:val="Compact"/>
              <w:jc w:val="left"/>
            </w:pPr>
            <w:r>
              <w:t xml:space="preserve">60 hrs</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Statistician – Data Cleaning, Imputation, and Quality Assurance of 2024 National Census Microdata (Philippines Manila district records)</w:t>
            </w:r>
          </w:p>
        </w:tc>
        <w:tc>
          <w:tcPr/>
          <w:p>
            <w:pPr>
              <w:pStyle w:val="Compact"/>
              <w:jc w:val="left"/>
            </w:pPr>
            <w:r>
              <w:t xml:space="preserve">100 hrs</w:t>
            </w:r>
          </w:p>
        </w:tc>
        <w:tc>
          <w:tcPr/>
          <w:p>
            <w:pPr>
              <w:pStyle w:val="Compact"/>
              <w:jc w:val="left"/>
            </w:pPr>
            <w:r>
              <w:t xml:space="preserve">1,800.00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Statistician – Preparation of Technical Statistical Reports, Visualizations, and Executive Summaries for Board Presentation</w:t>
            </w:r>
          </w:p>
        </w:tc>
        <w:tc>
          <w:tcPr/>
          <w:p>
            <w:pPr>
              <w:pStyle w:val="Compact"/>
              <w:jc w:val="left"/>
            </w:pPr>
            <w:r>
              <w:t xml:space="preserve">40 hrs</w:t>
            </w:r>
          </w:p>
        </w:tc>
        <w:tc>
          <w:tcPr/>
          <w:p>
            <w:pPr>
              <w:pStyle w:val="Compact"/>
              <w:jc w:val="left"/>
            </w:pPr>
            <w:r>
              <w:t xml:space="preserve">2,000.00</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Statistician – On-site Consultation and Methodology Review at PNERI Office, Philippines Manila (5 sessions)</w:t>
            </w:r>
          </w:p>
        </w:tc>
        <w:tc>
          <w:tcPr/>
          <w:p>
            <w:pPr>
              <w:pStyle w:val="Compact"/>
              <w:jc w:val="left"/>
            </w:pPr>
            <w:r>
              <w:t xml:space="preserve">5 sessions</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7</w:t>
            </w:r>
          </w:p>
        </w:tc>
        <w:tc>
          <w:tcPr/>
          <w:p>
            <w:pPr>
              <w:pStyle w:val="Compact"/>
              <w:jc w:val="left"/>
            </w:pPr>
            <w:r>
              <w:t xml:space="preserve">Statistician – Training Workshop for Junior Analysts on Advanced Statistical Software (R, SAS, Stata) – Philippines Manila venue</w:t>
            </w:r>
          </w:p>
        </w:tc>
        <w:tc>
          <w:tcPr/>
          <w:p>
            <w:pPr>
              <w:pStyle w:val="Compact"/>
              <w:jc w:val="left"/>
            </w:pPr>
            <w:r>
              <w:t xml:space="preserve">2 days</w:t>
            </w:r>
          </w:p>
        </w:tc>
        <w:tc>
          <w:tcPr/>
          <w:p>
            <w:pPr>
              <w:pStyle w:val="Compact"/>
              <w:jc w:val="left"/>
            </w:pPr>
            <w:r>
              <w:t xml:space="preserve">35,000.00</w:t>
            </w:r>
          </w:p>
        </w:tc>
        <w:tc>
          <w:tcPr/>
          <w:p>
            <w:pPr>
              <w:pStyle w:val="Compact"/>
              <w:jc w:val="left"/>
            </w:pPr>
            <w:r>
              <w:t xml:space="preserve">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1,031,000.00</w:t>
            </w:r>
          </w:p>
        </w:tc>
      </w:tr>
      <w:tr>
        <w:tc>
          <w:tcPr/>
          <w:p>
            <w:pPr>
              <w:pStyle w:val="Compact"/>
              <w:jc w:val="left"/>
            </w:pPr>
            <w:r>
              <w:t xml:space="preserve">VAT (12% – Philippine Bureau of Internal Revenue)</w:t>
            </w:r>
          </w:p>
        </w:tc>
        <w:tc>
          <w:tcPr/>
          <w:p>
            <w:pPr>
              <w:pStyle w:val="Compact"/>
              <w:jc w:val="left"/>
            </w:pPr>
            <w:r>
              <w:t xml:space="preserve">PHP 123,720.00</w:t>
            </w:r>
          </w:p>
        </w:tc>
      </w:tr>
      <w:tr>
        <w:tc>
          <w:tcPr/>
          <w:p>
            <w:pPr>
              <w:pStyle w:val="Compact"/>
              <w:jc w:val="left"/>
            </w:pPr>
            <w:r>
              <w:t xml:space="preserve">Withholding Tax (10% – BIR Form 0619-E)</w:t>
            </w:r>
          </w:p>
        </w:tc>
        <w:tc>
          <w:tcPr/>
          <w:p>
            <w:pPr>
              <w:pStyle w:val="Compact"/>
              <w:jc w:val="left"/>
            </w:pPr>
            <w:r>
              <w:t xml:space="preserve">(PHP 103,100.00)</w:t>
            </w:r>
          </w:p>
        </w:tc>
      </w:tr>
      <w:tr>
        <w:tc>
          <w:tcPr/>
          <w:p>
            <w:pPr>
              <w:pStyle w:val="Compact"/>
              <w:jc w:val="left"/>
            </w:pPr>
            <w:r>
              <w:t xml:space="preserve">NET AMOUNT DUE</w:t>
            </w:r>
          </w:p>
        </w:tc>
        <w:tc>
          <w:tcPr/>
          <w:p>
            <w:pPr>
              <w:pStyle w:val="Compact"/>
              <w:jc w:val="left"/>
            </w:pPr>
            <w:r>
              <w:t xml:space="preserve">PHP 1,051,620.00</w:t>
            </w:r>
          </w:p>
        </w:tc>
      </w:tr>
    </w:tbl>
    <w:bookmarkStart w:id="25" w:name="payment-terms-instructions"/>
    <w:p>
      <w:pPr>
        <w:pStyle w:val="Heading3"/>
      </w:pPr>
      <w:r>
        <w:t xml:space="preserve">Payment Terms &amp; Instructions</w:t>
      </w:r>
    </w:p>
    <w:p>
      <w:pPr>
        <w:pStyle w:val="FirstParagraph"/>
      </w:pPr>
      <w:r>
        <w:t xml:space="preserve">This Invoice is payable within thirty (30) calendar days from the date of issuance, i.e., on or before</w:t>
      </w:r>
      <w:r>
        <w:t xml:space="preserve"> </w:t>
      </w:r>
      <w:r>
        <w:rPr>
          <w:bCs/>
          <w:b/>
        </w:rPr>
        <w:t xml:space="preserve">July 15, 2025</w:t>
      </w:r>
      <w:r>
        <w:t xml:space="preserve">. Payment shall be made via bank transfer to the following account:</w:t>
      </w:r>
    </w:p>
    <w:p>
      <w:pPr>
        <w:pStyle w:val="BodyText"/>
      </w:pPr>
      <w:r>
        <w:rPr>
          <w:bCs/>
          <w:b/>
        </w:rPr>
        <w:t xml:space="preserve">Bank:</w:t>
      </w:r>
      <w:r>
        <w:t xml:space="preserve"> </w:t>
      </w:r>
      <w:r>
        <w:t xml:space="preserve">BDO Unibank, Inc. – Ayala Center Branch, Philippines Manila</w:t>
      </w:r>
    </w:p>
    <w:p>
      <w:pPr>
        <w:pStyle w:val="BodyText"/>
      </w:pPr>
      <w:r>
        <w:rPr>
          <w:bCs/>
          <w:b/>
        </w:rPr>
        <w:t xml:space="preserve">Account Name:</w:t>
      </w:r>
      <w:r>
        <w:t xml:space="preserve"> </w:t>
      </w:r>
      <w:r>
        <w:t xml:space="preserve">Quantum Analytics &amp; Statistical Consulting, Inc.</w:t>
      </w:r>
    </w:p>
    <w:p>
      <w:pPr>
        <w:pStyle w:val="BodyText"/>
      </w:pPr>
      <w:r>
        <w:rPr>
          <w:bCs/>
          <w:b/>
        </w:rPr>
        <w:t xml:space="preserve">Account No.:</w:t>
      </w:r>
      <w:r>
        <w:t xml:space="preserve"> </w:t>
      </w:r>
      <w:r>
        <w:t xml:space="preserve">001234567890 |</w:t>
      </w:r>
      <w:r>
        <w:t xml:space="preserve"> </w:t>
      </w:r>
      <w:r>
        <w:rPr>
          <w:bCs/>
          <w:b/>
        </w:rPr>
        <w:t xml:space="preserve">SWIFT:</w:t>
      </w:r>
      <w:r>
        <w:t xml:space="preserve"> </w:t>
      </w:r>
      <w:r>
        <w:t xml:space="preserve">BDOUPHMM</w:t>
      </w:r>
    </w:p>
    <w:p>
      <w:pPr>
        <w:pStyle w:val="BodyText"/>
      </w:pPr>
      <w:r>
        <w:t xml:space="preserve">Please reference Invoice No. QAS-2025-00472 in your remittance. A late payment penalty of 1.5% per month shall apply to outstanding balances after the due date, in accordance with Philippine commercial law (Civil Code, Article 1169).</w:t>
      </w:r>
    </w:p>
    <w:bookmarkEnd w:id="25"/>
    <w:bookmarkStart w:id="26" w:name="notes-important-reminders"/>
    <w:p>
      <w:pPr>
        <w:pStyle w:val="Heading3"/>
      </w:pPr>
      <w:r>
        <w:t xml:space="preserve">Notes &amp; Important Reminders</w:t>
      </w:r>
    </w:p>
    <w:p>
      <w:pPr>
        <w:pStyle w:val="FirstParagraph"/>
      </w:pPr>
      <w:r>
        <w:t xml:space="preserve">1. This Invoice has been prepared and issued by a licensed Statistician registered with the Professional Regulation Commission (PRC) of the Philippines. All statistical methodologies applied conform to the standards set by the Philippine Statistics Authority (PSA) and the International Association for Statistical Computing (IASC).</w:t>
      </w:r>
    </w:p>
    <w:p>
      <w:pPr>
        <w:pStyle w:val="BodyText"/>
      </w:pPr>
      <w:r>
        <w:t xml:space="preserve">2. All data processed under this engagement, particularly the Philippines Manila regional census microdata, are handled in strict compliance with the Data Privacy Act of 2012 (Republic Act No. 10173). No personal identifiable information shall be disclosed to third parties.</w:t>
      </w:r>
    </w:p>
    <w:p>
      <w:pPr>
        <w:pStyle w:val="BodyText"/>
      </w:pPr>
      <w:r>
        <w:t xml:space="preserve">3. The Statistician services rendered under this Invoice include full intellectual property transfer of all models, code, and analytical outputs to the Philippine National Economic Research Institute upon full settlement of the amount due.</w:t>
      </w:r>
    </w:p>
    <w:p>
      <w:pPr>
        <w:pStyle w:val="BodyText"/>
      </w:pPr>
      <w:r>
        <w:t xml:space="preserve">4. Any disputes arising from this Invoice shall be resolved through the courts of competent jurisdiction in the Philippines Manila metropolitan area, in accordance with Philippine law.</w:t>
      </w:r>
    </w:p>
    <w:p>
      <w:pPr>
        <w:pStyle w:val="BodyText"/>
      </w:pPr>
      <w:r>
        <w:t xml:space="preserve">5. This Invoice is valid for one hundred eighty (180) days from the date of issuance. Please retain this document for your official records and tax filing purposes with the Bureau of Internal Revenue (BIR).</w:t>
      </w:r>
    </w:p>
    <w:bookmarkEnd w:id="26"/>
    <w:p>
      <w:pPr>
        <w:pStyle w:val="BodyText"/>
      </w:pPr>
      <w:r>
        <w:rPr>
          <w:bCs/>
          <w:b/>
        </w:rPr>
        <w:t xml:space="preserve">Quantum Analytics &amp; Statistical Consulting, Inc.</w:t>
      </w:r>
      <w:r>
        <w:t xml:space="preserve"> </w:t>
      </w:r>
      <w:r>
        <w:t xml:space="preserve">| Philippines Manila, Metro Manila 1226</w:t>
      </w:r>
    </w:p>
    <w:p>
      <w:pPr>
        <w:pStyle w:val="BodyText"/>
      </w:pPr>
      <w:r>
        <w:t xml:space="preserve">Registered with the Securities and Exchange Commission (SEC) – Philippines | BIR-Registered TIN: 000-123-456-000</w:t>
      </w:r>
    </w:p>
    <w:p>
      <w:pPr>
        <w:pStyle w:val="BodyText"/>
      </w:pPr>
      <w:r>
        <w:t xml:space="preserve">Senior Statistician: Dr. James R. Dela Cruz | PRC License No. 123456 | PSA Member ID: PSA-2019-0042</w:t>
      </w:r>
    </w:p>
    <w:p>
      <w:pPr>
        <w:pStyle w:val="BodyText"/>
      </w:pPr>
      <w:r>
        <w:t xml:space="preserve">Thank you for your business. This Invoice was generated electronically and is valid without a physical signature per Republic Act No. 10175 (E-Commerce Act of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Philippines Manila</dc:title>
  <dc:creator/>
  <dc:language>en</dc:language>
  <cp:keywords/>
  <dcterms:created xsi:type="dcterms:W3CDTF">2026-10-10T03:31:45Z</dcterms:created>
  <dcterms:modified xsi:type="dcterms:W3CDTF">2026-10-10T03:31:45Z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