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X21cfabac6792b0f2369f45289377b1a0408c90f"/>
    <w:p>
      <w:pPr>
        <w:pStyle w:val="Heading1"/>
      </w:pPr>
      <w:r>
        <w:t xml:space="preserve">Quantum Analytics &amp; Statistical Consulting LLC</w:t>
      </w:r>
    </w:p>
    <w:p>
      <w:pPr>
        <w:pStyle w:val="FirstParagraph"/>
      </w:pPr>
      <w:r>
        <w:t xml:space="preserve">12 Tverskaya Street, Building 4, Office 312</w:t>
      </w:r>
    </w:p>
    <w:p>
      <w:pPr>
        <w:pStyle w:val="BodyText"/>
      </w:pPr>
      <w:r>
        <w:t xml:space="preserve">Moscow, Russia 125009</w:t>
      </w:r>
    </w:p>
    <w:p>
      <w:pPr>
        <w:pStyle w:val="BodyText"/>
      </w:pPr>
      <w:r>
        <w:t xml:space="preserve">Taxpayer ID (INN): 7701234567</w:t>
      </w:r>
    </w:p>
    <w:p>
      <w:pPr>
        <w:pStyle w:val="BodyText"/>
      </w:pPr>
      <w:r>
        <w:t xml:space="preserve">Registered Account Number (KPP): 770101001</w:t>
      </w:r>
    </w:p>
    <w:p>
      <w:pPr>
        <w:pStyle w:val="BodyText"/>
      </w:pPr>
      <w:r>
        <w:t xml:space="preserve">Phone: +7 (495) 123-4567</w:t>
      </w:r>
    </w:p>
    <w:p>
      <w:pPr>
        <w:pStyle w:val="BodyText"/>
      </w:pPr>
      <w:r>
        <w:t xml:space="preserve">Email: billing@quantumanalytics.ru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Russian Ruble (RUB)</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Federal Statistical Service of the Russian Federation (Rosstat)</w:t>
      </w:r>
    </w:p>
    <w:p>
      <w:pPr>
        <w:pStyle w:val="BodyText"/>
      </w:pPr>
      <w:r>
        <w:rPr>
          <w:bCs/>
          <w:b/>
        </w:rPr>
        <w:t xml:space="preserve">Department:</w:t>
      </w:r>
      <w:r>
        <w:t xml:space="preserve"> </w:t>
      </w:r>
      <w:r>
        <w:t xml:space="preserve">Regional Data Analysis Division</w:t>
      </w:r>
    </w:p>
    <w:p>
      <w:pPr>
        <w:pStyle w:val="BodyText"/>
      </w:pPr>
      <w:r>
        <w:rPr>
          <w:bCs/>
          <w:b/>
        </w:rPr>
        <w:t xml:space="preserve">Address:</w:t>
      </w:r>
      <w:r>
        <w:t xml:space="preserve"> </w:t>
      </w:r>
      <w:r>
        <w:t xml:space="preserve">11 Bolshaya Dmitrovka Street, Moscow, Russia 107078</w:t>
      </w:r>
    </w:p>
    <w:p>
      <w:pPr>
        <w:pStyle w:val="BodyText"/>
      </w:pPr>
      <w:r>
        <w:rPr>
          <w:bCs/>
          <w:b/>
        </w:rPr>
        <w:t xml:space="preserve">Attention:</w:t>
      </w:r>
      <w:r>
        <w:t xml:space="preserve"> </w:t>
      </w:r>
      <w:r>
        <w:t xml:space="preserve">Dr. Elena V. Petrova, Senior Director</w:t>
      </w:r>
    </w:p>
    <w:p>
      <w:pPr>
        <w:pStyle w:val="BodyText"/>
      </w:pPr>
      <w:r>
        <w:rPr>
          <w:bCs/>
          <w:b/>
        </w:rPr>
        <w:t xml:space="preserve">Contact:</w:t>
      </w:r>
      <w:r>
        <w:t xml:space="preserve"> </w:t>
      </w:r>
      <w:r>
        <w:t xml:space="preserve">e.petrova@rosstat.gov.ru</w:t>
      </w:r>
    </w:p>
    <w:bookmarkEnd w:id="22"/>
    <w:bookmarkStart w:id="23" w:name="service-provider"/>
    <w:p>
      <w:pPr>
        <w:pStyle w:val="Heading3"/>
      </w:pPr>
      <w:r>
        <w:t xml:space="preserve">Service Provider</w:t>
      </w:r>
    </w:p>
    <w:p>
      <w:pPr>
        <w:pStyle w:val="FirstParagraph"/>
      </w:pPr>
      <w:r>
        <w:rPr>
          <w:bCs/>
          <w:b/>
        </w:rPr>
        <w:t xml:space="preserve">Statistician:</w:t>
      </w:r>
      <w:r>
        <w:t xml:space="preserve"> </w:t>
      </w:r>
      <w:r>
        <w:t xml:space="preserve">Dr. Alexander M. Volkov, PhD in Applied Statistics</w:t>
      </w:r>
    </w:p>
    <w:p>
      <w:pPr>
        <w:pStyle w:val="BodyText"/>
      </w:pPr>
      <w:r>
        <w:rPr>
          <w:bCs/>
          <w:b/>
        </w:rPr>
        <w:t xml:space="preserve">Specialization:</w:t>
      </w:r>
      <w:r>
        <w:t xml:space="preserve"> </w:t>
      </w:r>
      <w:r>
        <w:t xml:space="preserve">Econometric Modeling, Bayesian Inference, Multivariate Analysis</w:t>
      </w:r>
    </w:p>
    <w:p>
      <w:pPr>
        <w:pStyle w:val="BodyText"/>
      </w:pPr>
      <w:r>
        <w:rPr>
          <w:bCs/>
          <w:b/>
        </w:rPr>
        <w:t xml:space="preserve">Professional License:</w:t>
      </w:r>
      <w:r>
        <w:t xml:space="preserve"> </w:t>
      </w:r>
      <w:r>
        <w:t xml:space="preserve">RUS-STAT-2019-00847</w:t>
      </w:r>
    </w:p>
    <w:p>
      <w:pPr>
        <w:pStyle w:val="BodyText"/>
      </w:pPr>
      <w:r>
        <w:rPr>
          <w:bCs/>
          <w:b/>
        </w:rPr>
        <w:t xml:space="preserve">Address:</w:t>
      </w:r>
      <w:r>
        <w:t xml:space="preserve"> </w:t>
      </w:r>
      <w:r>
        <w:t xml:space="preserve">12 Tverskaya Street, Building 4, Office 312, Moscow, Russia 125009</w:t>
      </w:r>
    </w:p>
    <w:p>
      <w:pPr>
        <w:pStyle w:val="BodyText"/>
      </w:pPr>
      <w:r>
        <w:rPr>
          <w:bCs/>
          <w:b/>
        </w:rPr>
        <w:t xml:space="preserve">Contact:</w:t>
      </w:r>
      <w:r>
        <w:t xml:space="preserve"> </w:t>
      </w:r>
      <w:r>
        <w:t xml:space="preserve">a.volkov@quantumanalytics.ru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Period</w:t>
            </w:r>
          </w:p>
        </w:tc>
        <w:tc>
          <w:tcPr/>
          <w:p>
            <w:pPr>
              <w:pStyle w:val="Compact"/>
              <w:jc w:val="left"/>
            </w:pPr>
            <w:r>
              <w:t xml:space="preserve">Rate (RUB)</w:t>
            </w:r>
          </w:p>
        </w:tc>
        <w:tc>
          <w:tcPr/>
          <w:p>
            <w:pPr>
              <w:pStyle w:val="Compact"/>
              <w:jc w:val="left"/>
            </w:pPr>
            <w:r>
              <w:t xml:space="preserve">Hours</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statistical analysis of regional economic indicators for the Moscow metropolitan area, including time-series decomposition, trend identification, and seasonal adjustment of quarterly GDP data spanning 2015–2025.</w:t>
            </w:r>
          </w:p>
        </w:tc>
        <w:tc>
          <w:tcPr/>
          <w:p>
            <w:pPr>
              <w:pStyle w:val="Compact"/>
              <w:jc w:val="left"/>
            </w:pPr>
            <w:r>
              <w:t xml:space="preserve">Jan – Mar 2025</w:t>
            </w:r>
          </w:p>
        </w:tc>
        <w:tc>
          <w:tcPr/>
          <w:p>
            <w:pPr>
              <w:pStyle w:val="Compact"/>
              <w:jc w:val="left"/>
            </w:pPr>
            <w:r>
              <w:t xml:space="preserve">4,500</w:t>
            </w:r>
          </w:p>
        </w:tc>
        <w:tc>
          <w:tcPr/>
          <w:p>
            <w:pPr>
              <w:pStyle w:val="Compact"/>
              <w:jc w:val="left"/>
            </w:pPr>
            <w:r>
              <w:t xml:space="preserve">120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Design and implementation of a Bayesian hierarchical model for forecasting unemployment rates across 85 federal subjects of Russia, incorporating spatial autocorrelation and macroeconomic covariates.</w:t>
            </w:r>
          </w:p>
        </w:tc>
        <w:tc>
          <w:tcPr/>
          <w:p>
            <w:pPr>
              <w:pStyle w:val="Compact"/>
              <w:jc w:val="left"/>
            </w:pPr>
            <w:r>
              <w:t xml:space="preserve">Feb – Apr 2025</w:t>
            </w:r>
          </w:p>
        </w:tc>
        <w:tc>
          <w:tcPr/>
          <w:p>
            <w:pPr>
              <w:pStyle w:val="Compact"/>
              <w:jc w:val="left"/>
            </w:pPr>
            <w:r>
              <w:t xml:space="preserve">5,200</w:t>
            </w:r>
          </w:p>
        </w:tc>
        <w:tc>
          <w:tcPr/>
          <w:p>
            <w:pPr>
              <w:pStyle w:val="Compact"/>
              <w:jc w:val="left"/>
            </w:pPr>
            <w:r>
              <w:t xml:space="preserve">96</w:t>
            </w:r>
          </w:p>
        </w:tc>
        <w:tc>
          <w:tcPr/>
          <w:p>
            <w:pPr>
              <w:pStyle w:val="Compact"/>
              <w:jc w:val="left"/>
            </w:pPr>
            <w:r>
              <w:t xml:space="preserve">499,200.00</w:t>
            </w:r>
          </w:p>
        </w:tc>
      </w:tr>
      <w:tr>
        <w:tc>
          <w:tcPr/>
          <w:p>
            <w:pPr>
              <w:pStyle w:val="Compact"/>
              <w:jc w:val="left"/>
            </w:pPr>
            <w:r>
              <w:t xml:space="preserve">3</w:t>
            </w:r>
          </w:p>
        </w:tc>
        <w:tc>
          <w:tcPr/>
          <w:p>
            <w:pPr>
              <w:pStyle w:val="Compact"/>
              <w:jc w:val="left"/>
            </w:pPr>
            <w:r>
              <w:t xml:space="preserve">Statistical quality assurance and validation of the 2025 Moscow City Census preliminary dataset, including outlier detection, imputation strategy development, and confidence interval estimation for all reported demographic variables.</w:t>
            </w:r>
          </w:p>
        </w:tc>
        <w:tc>
          <w:tcPr/>
          <w:p>
            <w:pPr>
              <w:pStyle w:val="Compact"/>
              <w:jc w:val="left"/>
            </w:pPr>
            <w:r>
              <w:t xml:space="preserve">Mar – May 2025</w:t>
            </w:r>
          </w:p>
        </w:tc>
        <w:tc>
          <w:tcPr/>
          <w:p>
            <w:pPr>
              <w:pStyle w:val="Compact"/>
              <w:jc w:val="left"/>
            </w:pPr>
            <w:r>
              <w:t xml:space="preserve">4,800</w:t>
            </w:r>
          </w:p>
        </w:tc>
        <w:tc>
          <w:tcPr/>
          <w:p>
            <w:pPr>
              <w:pStyle w:val="Compact"/>
              <w:jc w:val="left"/>
            </w:pPr>
            <w:r>
              <w:t xml:space="preserve">80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Preparation of a peer-reviewed statistical methodology report for the Russian Academy of Sciences, detailing novel approaches to small-area estimation using auxiliary administrative data sources available in Moscow and surrounding oblasts.</w:t>
            </w:r>
          </w:p>
        </w:tc>
        <w:tc>
          <w:tcPr/>
          <w:p>
            <w:pPr>
              <w:pStyle w:val="Compact"/>
              <w:jc w:val="left"/>
            </w:pPr>
            <w:r>
              <w:t xml:space="preserve">Apr – Jun 2025</w:t>
            </w:r>
          </w:p>
        </w:tc>
        <w:tc>
          <w:tcPr/>
          <w:p>
            <w:pPr>
              <w:pStyle w:val="Compact"/>
              <w:jc w:val="left"/>
            </w:pPr>
            <w:r>
              <w:t xml:space="preserve">6,000</w:t>
            </w:r>
          </w:p>
        </w:tc>
        <w:tc>
          <w:tcPr/>
          <w:p>
            <w:pPr>
              <w:pStyle w:val="Compact"/>
              <w:jc w:val="left"/>
            </w:pPr>
            <w:r>
              <w:t xml:space="preserve">64</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On-site consultation and training workshop for a team of 15 junior statisticians at the Rosstat Moscow Regional Office, covering advanced regression diagnostics, bootstrapping techniques, and reproducible statistical computing in R and Python.</w:t>
            </w:r>
          </w:p>
        </w:tc>
        <w:tc>
          <w:tcPr/>
          <w:p>
            <w:pPr>
              <w:pStyle w:val="Compact"/>
              <w:jc w:val="left"/>
            </w:pPr>
            <w:r>
              <w:t xml:space="preserve">May 2025</w:t>
            </w:r>
          </w:p>
        </w:tc>
        <w:tc>
          <w:tcPr/>
          <w:p>
            <w:pPr>
              <w:pStyle w:val="Compact"/>
              <w:jc w:val="left"/>
            </w:pPr>
            <w:r>
              <w:t xml:space="preserve">7,500</w:t>
            </w:r>
          </w:p>
        </w:tc>
        <w:tc>
          <w:tcPr/>
          <w:p>
            <w:pPr>
              <w:pStyle w:val="Compact"/>
              <w:jc w:val="left"/>
            </w:pPr>
            <w:r>
              <w:t xml:space="preserve">24</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Development of a custom statistical dashboard and automated reporting pipeline for real-time monitoring of key social and economic indicators in Moscow, integrating data from multiple government agencies.</w:t>
            </w:r>
          </w:p>
        </w:tc>
        <w:tc>
          <w:tcPr/>
          <w:p>
            <w:pPr>
              <w:pStyle w:val="Compact"/>
              <w:jc w:val="left"/>
            </w:pPr>
            <w:r>
              <w:t xml:space="preserve">Jun 2025</w:t>
            </w:r>
          </w:p>
        </w:tc>
        <w:tc>
          <w:tcPr/>
          <w:p>
            <w:pPr>
              <w:pStyle w:val="Compact"/>
              <w:jc w:val="left"/>
            </w:pPr>
            <w:r>
              <w:t xml:space="preserve">5,500</w:t>
            </w:r>
          </w:p>
        </w:tc>
        <w:tc>
          <w:tcPr/>
          <w:p>
            <w:pPr>
              <w:pStyle w:val="Compact"/>
              <w:jc w:val="left"/>
            </w:pPr>
            <w:r>
              <w:t xml:space="preserve">48</w:t>
            </w:r>
          </w:p>
        </w:tc>
        <w:tc>
          <w:tcPr/>
          <w:p>
            <w:pPr>
              <w:pStyle w:val="Compact"/>
              <w:jc w:val="left"/>
            </w:pPr>
            <w:r>
              <w:t xml:space="preserve">264,000.00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2,251,200.00 RUB</w:t>
            </w:r>
          </w:p>
        </w:tc>
      </w:tr>
      <w:tr>
        <w:tc>
          <w:tcPr/>
          <w:p>
            <w:pPr>
              <w:pStyle w:val="Compact"/>
              <w:jc w:val="left"/>
            </w:pPr>
            <w:r>
              <w:t xml:space="preserve">VAT (20% per Russian Federal Tax Service regulations)</w:t>
            </w:r>
          </w:p>
        </w:tc>
        <w:tc>
          <w:tcPr/>
          <w:p>
            <w:pPr>
              <w:pStyle w:val="Compact"/>
              <w:jc w:val="left"/>
            </w:pPr>
            <w:r>
              <w:t xml:space="preserve">450,240.00 RUB</w:t>
            </w:r>
          </w:p>
        </w:tc>
      </w:tr>
      <w:tr>
        <w:tc>
          <w:tcPr/>
          <w:p>
            <w:pPr>
              <w:pStyle w:val="Compact"/>
              <w:jc w:val="left"/>
            </w:pPr>
            <w:r>
              <w:t xml:space="preserve">Applicable Service Tax (Moscow municipal levy)</w:t>
            </w:r>
          </w:p>
        </w:tc>
        <w:tc>
          <w:tcPr/>
          <w:p>
            <w:pPr>
              <w:pStyle w:val="Compact"/>
              <w:jc w:val="left"/>
            </w:pPr>
            <w:r>
              <w:t xml:space="preserve">22,512.00 RUB</w:t>
            </w:r>
          </w:p>
        </w:tc>
      </w:tr>
      <w:tr>
        <w:tc>
          <w:tcPr/>
          <w:p>
            <w:pPr>
              <w:pStyle w:val="Compact"/>
              <w:jc w:val="left"/>
            </w:pPr>
            <w:r>
              <w:t xml:space="preserve">TOTAL AMOUNT DUE</w:t>
            </w:r>
          </w:p>
        </w:tc>
        <w:tc>
          <w:tcPr/>
          <w:p>
            <w:pPr>
              <w:pStyle w:val="Compact"/>
              <w:jc w:val="left"/>
            </w:pPr>
            <w:r>
              <w:t xml:space="preserve">2,723,952.00 RUB</w:t>
            </w:r>
          </w:p>
        </w:tc>
      </w:tr>
    </w:tbl>
    <w:bookmarkStart w:id="24" w:name="payment-terms-and-instructions"/>
    <w:p>
      <w:pPr>
        <w:pStyle w:val="Heading3"/>
      </w:pPr>
      <w:r>
        <w:t xml:space="preserve">Payment Terms and Instructions</w:t>
      </w:r>
    </w:p>
    <w:p>
      <w:pPr>
        <w:pStyle w:val="FirstParagraph"/>
      </w:pPr>
      <w:r>
        <w:t xml:space="preserve">This invoice for professional statistician services rendered in Moscow, Russia, is payable within fifteen (15) calendar days from the date of issuance. Payment is due no later than 30 June 2025.</w:t>
      </w:r>
    </w:p>
    <w:p>
      <w:pPr>
        <w:numPr>
          <w:ilvl w:val="0"/>
          <w:numId w:val="1001"/>
        </w:numPr>
        <w:pStyle w:val="Compact"/>
      </w:pPr>
      <w:r>
        <w:rPr>
          <w:bCs/>
          <w:b/>
        </w:rPr>
        <w:t xml:space="preserve">Bank:</w:t>
      </w:r>
      <w:r>
        <w:t xml:space="preserve"> </w:t>
      </w:r>
      <w:r>
        <w:t xml:space="preserve">Sberbank, Moscow Branch</w:t>
      </w:r>
    </w:p>
    <w:p>
      <w:pPr>
        <w:numPr>
          <w:ilvl w:val="0"/>
          <w:numId w:val="1001"/>
        </w:numPr>
        <w:pStyle w:val="Compact"/>
      </w:pPr>
      <w:r>
        <w:rPr>
          <w:bCs/>
          <w:b/>
        </w:rPr>
        <w:t xml:space="preserve">Account Holder:</w:t>
      </w:r>
      <w:r>
        <w:t xml:space="preserve"> </w:t>
      </w:r>
      <w:r>
        <w:t xml:space="preserve">Quantum Analytics &amp; Statistical Consulting LLC</w:t>
      </w:r>
    </w:p>
    <w:p>
      <w:pPr>
        <w:numPr>
          <w:ilvl w:val="0"/>
          <w:numId w:val="1001"/>
        </w:numPr>
        <w:pStyle w:val="Compact"/>
      </w:pPr>
      <w:r>
        <w:rPr>
          <w:bCs/>
          <w:b/>
        </w:rPr>
        <w:t xml:space="preserve">Account Number (R/S):</w:t>
      </w:r>
      <w:r>
        <w:t xml:space="preserve"> </w:t>
      </w:r>
      <w:r>
        <w:t xml:space="preserve">40702810400000012345</w:t>
      </w:r>
    </w:p>
    <w:p>
      <w:pPr>
        <w:numPr>
          <w:ilvl w:val="0"/>
          <w:numId w:val="1001"/>
        </w:numPr>
        <w:pStyle w:val="Compact"/>
      </w:pPr>
      <w:r>
        <w:rPr>
          <w:bCs/>
          <w:b/>
        </w:rPr>
        <w:t xml:space="preserve">Correspondent Account (K/S):</w:t>
      </w:r>
      <w:r>
        <w:t xml:space="preserve"> </w:t>
      </w:r>
      <w:r>
        <w:t xml:space="preserve">30101810400000000603</w:t>
      </w:r>
    </w:p>
    <w:p>
      <w:pPr>
        <w:numPr>
          <w:ilvl w:val="0"/>
          <w:numId w:val="1001"/>
        </w:numPr>
        <w:pStyle w:val="Compact"/>
      </w:pPr>
      <w:r>
        <w:rPr>
          <w:bCs/>
          <w:b/>
        </w:rPr>
        <w:t xml:space="preserve">BIC/SWIFT:</w:t>
      </w:r>
      <w:r>
        <w:t xml:space="preserve"> </w:t>
      </w:r>
      <w:r>
        <w:t xml:space="preserve">SABRRUMM</w:t>
      </w:r>
    </w:p>
    <w:p>
      <w:pPr>
        <w:numPr>
          <w:ilvl w:val="0"/>
          <w:numId w:val="1001"/>
        </w:numPr>
        <w:pStyle w:val="Compact"/>
      </w:pPr>
      <w:r>
        <w:rPr>
          <w:bCs/>
          <w:b/>
        </w:rPr>
        <w:t xml:space="preserve">Payment Reference:</w:t>
      </w:r>
      <w:r>
        <w:t xml:space="preserve"> </w:t>
      </w:r>
      <w:r>
        <w:t xml:space="preserve">QAS-2025-00487</w:t>
      </w:r>
    </w:p>
    <w:p>
      <w:pPr>
        <w:pStyle w:val="FirstParagraph"/>
      </w:pPr>
      <w:r>
        <w:t xml:space="preserve">Late payments shall accrue interest at a rate of 0.05% per calendar day in accordance with Article 395 of the Civil Code of the Russian Federation. All payments must be made in Russian Rubles (RUB) to the designated bank account in Moscow.</w:t>
      </w:r>
    </w:p>
    <w:bookmarkEnd w:id="24"/>
    <w:bookmarkStart w:id="25" w:name="additional-notes-and-terms"/>
    <w:p>
      <w:pPr>
        <w:pStyle w:val="Heading3"/>
      </w:pPr>
      <w:r>
        <w:t xml:space="preserve">Additional Notes and Terms</w:t>
      </w:r>
    </w:p>
    <w:p>
      <w:pPr>
        <w:pStyle w:val="FirstParagraph"/>
      </w:pPr>
      <w:r>
        <w:t xml:space="preserve">1. All statistical analyses, models, and reports produced by the undersigned statistician under this invoice are the exclusive intellectual property of the client upon full payment. Source code, datasets, and documentation are to be delivered in encrypted format via the Rosstat secure file transfer system.</w:t>
      </w:r>
    </w:p>
    <w:p>
      <w:pPr>
        <w:pStyle w:val="BodyText"/>
      </w:pPr>
      <w:r>
        <w:t xml:space="preserve">2. The statistician services described herein were performed in full compliance with the Federal Law No. 54-FZ on State Statistics of the Russian Federation and all applicable data protection regulations under Federal Law No. 152-FZ on Personal Data.</w:t>
      </w:r>
    </w:p>
    <w:p>
      <w:pPr>
        <w:pStyle w:val="BodyText"/>
      </w:pPr>
      <w:r>
        <w:t xml:space="preserve">3. This invoice constitutes a binding financial document for the services rendered by the statistician in Moscow, Russia, during the period specified. Any disputes regarding the scope, quality, or billing of services shall be resolved through arbitration in the Arbitration Court of the City of Moscow in accordance with the applicable procedural rules.</w:t>
      </w:r>
    </w:p>
    <w:p>
      <w:pPr>
        <w:pStyle w:val="BodyText"/>
      </w:pPr>
      <w:r>
        <w:t xml:space="preserve">4. The client acknowledges that the statistical methodologies employed by the statistician represent industry-standard practices and have been validated against established benchmarks. All confidence intervals, p-values, and model diagnostics are documented in the accompanying technical appendices.</w:t>
      </w:r>
    </w:p>
    <w:p>
      <w:pPr>
        <w:pStyle w:val="BodyText"/>
      </w:pPr>
      <w:r>
        <w:t xml:space="preserve">5. This invoice is valid for a period of ninety (90) days from the date of issuance. After this period, the invoice must be reissued with updated tax calculations if applicable rates have changed.</w:t>
      </w:r>
    </w:p>
    <w:bookmarkEnd w:id="25"/>
    <w:p>
      <w:pPr>
        <w:pStyle w:val="BodyText"/>
      </w:pPr>
      <w:r>
        <w:rPr>
          <w:bCs/>
          <w:b/>
        </w:rPr>
        <w:t xml:space="preserve">Prepared and issued by:</w:t>
      </w:r>
      <w:r>
        <w:t xml:space="preserve"> </w:t>
      </w:r>
      <w:r>
        <w:t xml:space="preserve">Dr. Alexander M. Volkov, Lead Statistician</w:t>
      </w:r>
    </w:p>
    <w:p>
      <w:pPr>
        <w:pStyle w:val="BodyText"/>
      </w:pPr>
      <w:r>
        <w:rPr>
          <w:bCs/>
          <w:b/>
        </w:rPr>
        <w:t xml:space="preserve">Authorized Signatory:</w:t>
      </w:r>
      <w:r>
        <w:t xml:space="preserve"> </w:t>
      </w:r>
      <w:r>
        <w:t xml:space="preserve">Maria S. Ivanova, Chief Financial Officer, Quantum Analytics &amp; Statistical Consulting LLC</w:t>
      </w:r>
    </w:p>
    <w:p>
      <w:pPr>
        <w:pStyle w:val="BodyText"/>
      </w:pPr>
      <w:r>
        <w:rPr>
          <w:bCs/>
          <w:b/>
        </w:rPr>
        <w:t xml:space="preserve">Place of Issuance:</w:t>
      </w:r>
      <w:r>
        <w:t xml:space="preserve"> </w:t>
      </w:r>
      <w:r>
        <w:t xml:space="preserve">Moscow, Russia</w:t>
      </w:r>
    </w:p>
    <w:p>
      <w:pPr>
        <w:pStyle w:val="BodyText"/>
      </w:pPr>
      <w:r>
        <w:t xml:space="preserve">This invoice was generated electronically and is valid without a physical signature in accordance with Federal Law No. 63-FZ on Electronic Signatures. Document hash: SHA-256: a3f8c2e19b7d4f6a0e5c8b2d1f9a4e7c3b6d0f8a2e5c9b1d4f7a3e6c0b8d2f5a</w:t>
      </w:r>
    </w:p>
    <w:p>
      <w:pPr>
        <w:pStyle w:val="BodyText"/>
      </w:pPr>
      <w:r>
        <w:t xml:space="preserve">© 2025 Quantum Analytics &amp; Statistical Consulting LLC. All rights reserved. Registered in Moscow, Russia. OGRN: 1197746123456.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Moscow, Russia</dc:title>
  <dc:creator/>
  <dc:language>en</dc:language>
  <cp:keywords/>
  <dcterms:created xsi:type="dcterms:W3CDTF">2026-10-10T04:06:35Z</dcterms:created>
  <dcterms:modified xsi:type="dcterms:W3CDTF">2026-10-10T04:06:35Z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