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Professional Statistician Services — United Arab Emirates Dubai</w:t>
      </w:r>
    </w:p>
    <w:p>
      <w:pPr>
        <w:pStyle w:val="BodyText"/>
      </w:pPr>
      <w:r>
        <w:t xml:space="preserve">Official Invoice Document</w:t>
      </w:r>
    </w:p>
    <w:bookmarkEnd w:id="20"/>
    <w:bookmarkStart w:id="21" w:name="apex-statistical-consulting-llc"/>
    <w:p>
      <w:pPr>
        <w:pStyle w:val="Heading3"/>
      </w:pPr>
      <w:r>
        <w:t xml:space="preserve">Apex Statistical Consulting LLC</w:t>
      </w:r>
    </w:p>
    <w:p>
      <w:pPr>
        <w:pStyle w:val="FirstParagraph"/>
      </w:pPr>
      <w:r>
        <w:t xml:space="preserve">Office 1204, Level 12, Burj Khalifa</w:t>
      </w:r>
    </w:p>
    <w:p>
      <w:pPr>
        <w:pStyle w:val="BodyText"/>
      </w:pPr>
      <w:r>
        <w:t xml:space="preserve">Downtown Dubai, United Arab Emirates</w:t>
      </w:r>
    </w:p>
    <w:p>
      <w:pPr>
        <w:pStyle w:val="BodyText"/>
      </w:pPr>
      <w:r>
        <w:t xml:space="preserve">PO Box 72845, Dubai, UAE</w:t>
      </w:r>
    </w:p>
    <w:p>
      <w:pPr>
        <w:pStyle w:val="BodyText"/>
      </w:pPr>
      <w:r>
        <w:t xml:space="preserve">Tel: +971 4 555 0192</w:t>
      </w:r>
    </w:p>
    <w:p>
      <w:pPr>
        <w:pStyle w:val="BodyText"/>
      </w:pPr>
      <w:r>
        <w:t xml:space="preserve">Email: billing@apexstat.ae</w:t>
      </w:r>
    </w:p>
    <w:p>
      <w:pPr>
        <w:pStyle w:val="BodyText"/>
      </w:pPr>
      <w:r>
        <w:t xml:space="preserve">TRN: 100345678000003</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INV-2025-DXB-0487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
    <w:p>
      <w:pPr>
        <w:pStyle w:val="Heading4"/>
      </w:pPr>
      <w:r>
        <w:t xml:space="preserve">Billed To</w:t>
      </w:r>
    </w:p>
    <w:p>
      <w:pPr>
        <w:pStyle w:val="FirstParagraph"/>
      </w:pPr>
      <w:r>
        <w:rPr>
          <w:bCs/>
          <w:b/>
        </w:rPr>
        <w:t xml:space="preserve">Emirates Financial Analytics Group</w:t>
      </w:r>
    </w:p>
    <w:p>
      <w:pPr>
        <w:pStyle w:val="BodyText"/>
      </w:pPr>
      <w:r>
        <w:t xml:space="preserve">Level 8, Gate Village 7, Al Sufouh</w:t>
      </w:r>
    </w:p>
    <w:p>
      <w:pPr>
        <w:pStyle w:val="BodyText"/>
      </w:pPr>
      <w:r>
        <w:t xml:space="preserve">Dubai, United Arab Emirates</w:t>
      </w:r>
    </w:p>
    <w:p>
      <w:pPr>
        <w:pStyle w:val="BodyText"/>
      </w:pPr>
      <w:r>
        <w:t xml:space="preserve">Attn: Mr. Khalid Al Mansoori, CFO</w:t>
      </w:r>
    </w:p>
    <w:p>
      <w:pPr>
        <w:pStyle w:val="BodyText"/>
      </w:pPr>
      <w:r>
        <w:t xml:space="preserve">TRN: 100987654000003</w:t>
      </w:r>
    </w:p>
    <w:bookmarkEnd w:id="23"/>
    <w:bookmarkStart w:id="24" w:name="service-provider"/>
    <w:p>
      <w:pPr>
        <w:pStyle w:val="Heading4"/>
      </w:pPr>
      <w:r>
        <w:t xml:space="preserve">Service Provider</w:t>
      </w:r>
    </w:p>
    <w:p>
      <w:pPr>
        <w:pStyle w:val="FirstParagraph"/>
      </w:pPr>
      <w:r>
        <w:rPr>
          <w:bCs/>
          <w:b/>
        </w:rPr>
        <w:t xml:space="preserve">Dr. Sarah Al Farsi, PhD</w:t>
      </w:r>
    </w:p>
    <w:p>
      <w:pPr>
        <w:pStyle w:val="BodyText"/>
      </w:pPr>
      <w:r>
        <w:t xml:space="preserve">Lead Statistician &amp; Data Analyst</w:t>
      </w:r>
    </w:p>
    <w:p>
      <w:pPr>
        <w:pStyle w:val="BodyText"/>
      </w:pPr>
      <w:r>
        <w:t xml:space="preserve">Apex Statistical Consulting LLC</w:t>
      </w:r>
    </w:p>
    <w:p>
      <w:pPr>
        <w:pStyle w:val="BodyText"/>
      </w:pPr>
      <w:r>
        <w:t xml:space="preserve">Dubai, United Arab Emirates</w:t>
      </w:r>
    </w:p>
    <w:p>
      <w:pPr>
        <w:pStyle w:val="BodyText"/>
      </w:pPr>
      <w:r>
        <w:t xml:space="preserve">License No: DED-2024-884321</w:t>
      </w:r>
    </w:p>
    <w:bookmarkEnd w:id="24"/>
    <w:bookmarkStart w:id="26" w:name="Xabb8f8cd3fca72f03f50566f0e4688feed42912"/>
    <w:p>
      <w:pPr>
        <w:pStyle w:val="Heading3"/>
      </w:pPr>
      <w:r>
        <w:t xml:space="preserve">Description of Statistician Services Rendered</w:t>
      </w:r>
    </w:p>
    <w:p>
      <w:pPr>
        <w:pStyle w:val="FirstParagraph"/>
      </w:pPr>
      <w:r>
        <w:t xml:space="preserve">The following Invoice covers professional statistical consulting, data analysis, and quantitative research services delivered by a certified Statistician to the client in United Arab Emirates Dubai during the billing period of 1 May 2025 through 31 May 2025.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Statistician Role</w:t>
            </w:r>
          </w:p>
        </w:tc>
        <w:tc>
          <w:tcPr/>
          <w:p>
            <w:pPr>
              <w:pStyle w:val="Compact"/>
              <w:jc w:val="left"/>
            </w:pPr>
            <w:r>
              <w:t xml:space="preserve">Hours</w:t>
            </w:r>
          </w:p>
        </w:tc>
        <w:tc>
          <w:tcPr/>
          <w:p>
            <w:pPr>
              <w:pStyle w:val="Compact"/>
              <w:jc w:val="left"/>
            </w:pPr>
            <w:r>
              <w:t xml:space="preserve">Rate (AED)</w:t>
            </w:r>
          </w:p>
        </w:tc>
        <w:tc>
          <w:tcPr/>
          <w:p>
            <w:pPr>
              <w:pStyle w:val="Compact"/>
              <w:jc w:val="right"/>
            </w:pPr>
            <w:r>
              <w:t xml:space="preserve">Amount (AED)</w:t>
            </w:r>
          </w:p>
        </w:tc>
      </w:tr>
      <w:tr>
        <w:tc>
          <w:tcPr/>
          <w:p>
            <w:pPr>
              <w:pStyle w:val="Compact"/>
              <w:jc w:val="left"/>
            </w:pPr>
            <w:r>
              <w:t xml:space="preserve">1</w:t>
            </w:r>
          </w:p>
        </w:tc>
        <w:tc>
          <w:tcPr/>
          <w:p>
            <w:pPr>
              <w:pStyle w:val="Compact"/>
              <w:jc w:val="left"/>
            </w:pPr>
            <w:r>
              <w:t xml:space="preserve">Comprehensive statistical modeling and regression analysis for quarterly financial performance data</w:t>
            </w:r>
          </w:p>
          <w:p>
            <w:pPr>
              <w:pStyle w:val="Compact"/>
              <w:jc w:val="left"/>
            </w:pPr>
            <w:r>
              <w:t xml:space="preserve">Multivariate linear regression, ANOVA, and predictive modeling using R and Python for the client's investment portfolio in Dubai, UAE.</w:t>
            </w:r>
          </w:p>
        </w:tc>
        <w:tc>
          <w:tcPr/>
          <w:p>
            <w:pPr>
              <w:pStyle w:val="Compact"/>
              <w:jc w:val="left"/>
            </w:pPr>
            <w:r>
              <w:t xml:space="preserve">Lead Statistician</w:t>
            </w:r>
          </w:p>
        </w:tc>
        <w:tc>
          <w:tcPr/>
          <w:p>
            <w:pPr>
              <w:pStyle w:val="Compact"/>
              <w:jc w:val="left"/>
            </w:pPr>
            <w:r>
              <w:t xml:space="preserve">48</w:t>
            </w:r>
          </w:p>
        </w:tc>
        <w:tc>
          <w:tcPr/>
          <w:p>
            <w:pPr>
              <w:pStyle w:val="Compact"/>
              <w:jc w:val="left"/>
            </w:pPr>
            <w:r>
              <w:t xml:space="preserve">450.00</w:t>
            </w:r>
          </w:p>
        </w:tc>
        <w:tc>
          <w:tcPr/>
          <w:p>
            <w:pPr>
              <w:pStyle w:val="Compact"/>
              <w:jc w:val="right"/>
            </w:pPr>
            <w:r>
              <w:t xml:space="preserve">21,600.00</w:t>
            </w:r>
          </w:p>
        </w:tc>
      </w:tr>
      <w:tr>
        <w:tc>
          <w:tcPr/>
          <w:p>
            <w:pPr>
              <w:pStyle w:val="Compact"/>
              <w:jc w:val="left"/>
            </w:pPr>
            <w:r>
              <w:t xml:space="preserve">2</w:t>
            </w:r>
          </w:p>
        </w:tc>
        <w:tc>
          <w:tcPr/>
          <w:p>
            <w:pPr>
              <w:pStyle w:val="Compact"/>
              <w:jc w:val="left"/>
            </w:pPr>
            <w:r>
              <w:t xml:space="preserve">Design and execution of a stratified sampling survey for consumer behavior research in the Dubai metropolitan area</w:t>
            </w:r>
          </w:p>
          <w:p>
            <w:pPr>
              <w:pStyle w:val="Compact"/>
              <w:jc w:val="left"/>
            </w:pPr>
            <w:r>
              <w:t xml:space="preserve">The Statistician designed the sampling framework, calculated confidence intervals, and performed hypothesis testing on 2,400 respondent records.</w:t>
            </w:r>
          </w:p>
        </w:tc>
        <w:tc>
          <w:tcPr/>
          <w:p>
            <w:pPr>
              <w:pStyle w:val="Compact"/>
              <w:jc w:val="left"/>
            </w:pPr>
            <w:r>
              <w:t xml:space="preserve">Senior Statistician</w:t>
            </w:r>
          </w:p>
        </w:tc>
        <w:tc>
          <w:tcPr/>
          <w:p>
            <w:pPr>
              <w:pStyle w:val="Compact"/>
              <w:jc w:val="left"/>
            </w:pPr>
            <w:r>
              <w:t xml:space="preserve">36</w:t>
            </w:r>
          </w:p>
        </w:tc>
        <w:tc>
          <w:tcPr/>
          <w:p>
            <w:pPr>
              <w:pStyle w:val="Compact"/>
              <w:jc w:val="left"/>
            </w:pPr>
            <w:r>
              <w:t xml:space="preserve">420.00</w:t>
            </w:r>
          </w:p>
        </w:tc>
        <w:tc>
          <w:tcPr/>
          <w:p>
            <w:pPr>
              <w:pStyle w:val="Compact"/>
              <w:jc w:val="right"/>
            </w:pPr>
            <w:r>
              <w:t xml:space="preserve">15,120.00</w:t>
            </w:r>
          </w:p>
        </w:tc>
      </w:tr>
      <w:tr>
        <w:tc>
          <w:tcPr/>
          <w:p>
            <w:pPr>
              <w:pStyle w:val="Compact"/>
              <w:jc w:val="left"/>
            </w:pPr>
            <w:r>
              <w:t xml:space="preserve">3</w:t>
            </w:r>
          </w:p>
        </w:tc>
        <w:tc>
          <w:tcPr/>
          <w:p>
            <w:pPr>
              <w:pStyle w:val="Compact"/>
              <w:jc w:val="left"/>
            </w:pPr>
            <w:r>
              <w:t xml:space="preserve">Bayesian statistical inference and Monte Carlo simulation for risk assessment of real estate investments</w:t>
            </w:r>
          </w:p>
          <w:p>
            <w:pPr>
              <w:pStyle w:val="Compact"/>
              <w:jc w:val="left"/>
            </w:pPr>
            <w:r>
              <w:t xml:space="preserve">Advanced probabilistic modeling conducted by the Statistician to evaluate downside risk scenarios for the client's Dubai property portfolio.</w:t>
            </w:r>
          </w:p>
        </w:tc>
        <w:tc>
          <w:tcPr/>
          <w:p>
            <w:pPr>
              <w:pStyle w:val="Compact"/>
              <w:jc w:val="left"/>
            </w:pPr>
            <w:r>
              <w:t xml:space="preserve">Lead Statistician</w:t>
            </w:r>
          </w:p>
        </w:tc>
        <w:tc>
          <w:tcPr/>
          <w:p>
            <w:pPr>
              <w:pStyle w:val="Compact"/>
              <w:jc w:val="left"/>
            </w:pPr>
            <w:r>
              <w:t xml:space="preserve">32</w:t>
            </w:r>
          </w:p>
        </w:tc>
        <w:tc>
          <w:tcPr/>
          <w:p>
            <w:pPr>
              <w:pStyle w:val="Compact"/>
              <w:jc w:val="left"/>
            </w:pPr>
            <w:r>
              <w:t xml:space="preserve">450.00</w:t>
            </w:r>
          </w:p>
        </w:tc>
        <w:tc>
          <w:tcPr/>
          <w:p>
            <w:pPr>
              <w:pStyle w:val="Compact"/>
              <w:jc w:val="right"/>
            </w:pPr>
            <w:r>
              <w:t xml:space="preserve">14,400.00</w:t>
            </w:r>
          </w:p>
        </w:tc>
      </w:tr>
      <w:tr>
        <w:tc>
          <w:tcPr/>
          <w:p>
            <w:pPr>
              <w:pStyle w:val="Compact"/>
              <w:jc w:val="left"/>
            </w:pPr>
            <w:r>
              <w:t xml:space="preserve">4</w:t>
            </w:r>
          </w:p>
        </w:tc>
        <w:tc>
          <w:tcPr/>
          <w:p>
            <w:pPr>
              <w:pStyle w:val="Compact"/>
              <w:jc w:val="left"/>
            </w:pPr>
            <w:r>
              <w:t xml:space="preserve">Data cleaning, preprocessing, and exploratory data analysis (EDA) of 1.2 million transaction records</w:t>
            </w:r>
          </w:p>
          <w:p>
            <w:pPr>
              <w:pStyle w:val="Compact"/>
              <w:jc w:val="left"/>
            </w:pPr>
            <w:r>
              <w:t xml:space="preserve">The Statistician performed outlier detection, missing data imputation, and generated summary statistics and visualizations for the executive board.</w:t>
            </w:r>
          </w:p>
        </w:tc>
        <w:tc>
          <w:tcPr/>
          <w:p>
            <w:pPr>
              <w:pStyle w:val="Compact"/>
              <w:jc w:val="left"/>
            </w:pPr>
            <w:r>
              <w:t xml:space="preserve">Statistician Associate</w:t>
            </w:r>
          </w:p>
        </w:tc>
        <w:tc>
          <w:tcPr/>
          <w:p>
            <w:pPr>
              <w:pStyle w:val="Compact"/>
              <w:jc w:val="left"/>
            </w:pPr>
            <w:r>
              <w:t xml:space="preserve">40</w:t>
            </w:r>
          </w:p>
        </w:tc>
        <w:tc>
          <w:tcPr/>
          <w:p>
            <w:pPr>
              <w:pStyle w:val="Compact"/>
              <w:jc w:val="left"/>
            </w:pPr>
            <w:r>
              <w:t xml:space="preserve">350.00</w:t>
            </w:r>
          </w:p>
        </w:tc>
        <w:tc>
          <w:tcPr/>
          <w:p>
            <w:pPr>
              <w:pStyle w:val="Compact"/>
              <w:jc w:val="right"/>
            </w:pPr>
            <w:r>
              <w:t xml:space="preserve">14,000.00</w:t>
            </w:r>
          </w:p>
        </w:tc>
      </w:tr>
      <w:tr>
        <w:tc>
          <w:tcPr/>
          <w:p>
            <w:pPr>
              <w:pStyle w:val="Compact"/>
              <w:jc w:val="left"/>
            </w:pPr>
            <w:r>
              <w:t xml:space="preserve">5</w:t>
            </w:r>
          </w:p>
        </w:tc>
        <w:tc>
          <w:tcPr/>
          <w:p>
            <w:pPr>
              <w:pStyle w:val="Compact"/>
              <w:jc w:val="left"/>
            </w:pPr>
            <w:r>
              <w:t xml:space="preserve">Preparation of a formal statistical report and presentation for the United Arab Emirates Dubai Financial Services Authority compliance review</w:t>
            </w:r>
          </w:p>
          <w:p>
            <w:pPr>
              <w:pStyle w:val="Compact"/>
              <w:jc w:val="left"/>
            </w:pPr>
            <w:r>
              <w:t xml:space="preserve">The Statistician authored a 45-page technical report including methodology, assumptions, limitations, and actionable recommendations.</w:t>
            </w:r>
          </w:p>
        </w:tc>
        <w:tc>
          <w:tcPr/>
          <w:p>
            <w:pPr>
              <w:pStyle w:val="Compact"/>
              <w:jc w:val="left"/>
            </w:pPr>
            <w:r>
              <w:t xml:space="preserve">Lead Statistician</w:t>
            </w:r>
          </w:p>
        </w:tc>
        <w:tc>
          <w:tcPr/>
          <w:p>
            <w:pPr>
              <w:pStyle w:val="Compact"/>
              <w:jc w:val="left"/>
            </w:pPr>
            <w:r>
              <w:t xml:space="preserve">24</w:t>
            </w:r>
          </w:p>
        </w:tc>
        <w:tc>
          <w:tcPr/>
          <w:p>
            <w:pPr>
              <w:pStyle w:val="Compact"/>
              <w:jc w:val="left"/>
            </w:pPr>
            <w:r>
              <w:t xml:space="preserve">450.00</w:t>
            </w:r>
          </w:p>
        </w:tc>
        <w:tc>
          <w:tcPr/>
          <w:p>
            <w:pPr>
              <w:pStyle w:val="Compact"/>
              <w:jc w:val="right"/>
            </w:pPr>
            <w:r>
              <w:t xml:space="preserve">10,800.00</w:t>
            </w:r>
          </w:p>
        </w:tc>
      </w:tr>
      <w:tr>
        <w:tc>
          <w:tcPr/>
          <w:p>
            <w:pPr>
              <w:pStyle w:val="Compact"/>
              <w:jc w:val="left"/>
            </w:pPr>
            <w:r>
              <w:t xml:space="preserve">6</w:t>
            </w:r>
          </w:p>
        </w:tc>
        <w:tc>
          <w:tcPr/>
          <w:p>
            <w:pPr>
              <w:pStyle w:val="Compact"/>
              <w:jc w:val="left"/>
            </w:pPr>
            <w:r>
              <w:t xml:space="preserve">On-site consultation and workshop for the client's analytics team in Dubai, United Arab Emirates</w:t>
            </w:r>
          </w:p>
          <w:p>
            <w:pPr>
              <w:pStyle w:val="Compact"/>
              <w:jc w:val="left"/>
            </w:pPr>
            <w:r>
              <w:t xml:space="preserve">Two full-day training sessions led by the Statistician covering advanced statistical techniques, data interpretation, and best practices in quantitative reporting.</w:t>
            </w:r>
          </w:p>
        </w:tc>
        <w:tc>
          <w:tcPr/>
          <w:p>
            <w:pPr>
              <w:pStyle w:val="Compact"/>
              <w:jc w:val="left"/>
            </w:pPr>
            <w:r>
              <w:t xml:space="preserve">Lead Statistician</w:t>
            </w:r>
          </w:p>
        </w:tc>
        <w:tc>
          <w:tcPr/>
          <w:p>
            <w:pPr>
              <w:pStyle w:val="Compact"/>
              <w:jc w:val="left"/>
            </w:pPr>
            <w:r>
              <w:t xml:space="preserve">16</w:t>
            </w:r>
          </w:p>
        </w:tc>
        <w:tc>
          <w:tcPr/>
          <w:p>
            <w:pPr>
              <w:pStyle w:val="Compact"/>
              <w:jc w:val="left"/>
            </w:pPr>
            <w:r>
              <w:t xml:space="preserve">500.00</w:t>
            </w:r>
          </w:p>
        </w:tc>
        <w:tc>
          <w:tcPr/>
          <w:p>
            <w:pPr>
              <w:pStyle w:val="Compact"/>
              <w:jc w:val="righ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83,920.00 AED</w:t>
            </w:r>
          </w:p>
        </w:tc>
      </w:tr>
      <w:tr>
        <w:tc>
          <w:tcPr/>
          <w:p>
            <w:pPr>
              <w:pStyle w:val="Compact"/>
              <w:jc w:val="left"/>
            </w:pPr>
            <w:r>
              <w:t xml:space="preserve">VAT (5% — United Arab Emirates)</w:t>
            </w:r>
          </w:p>
        </w:tc>
        <w:tc>
          <w:tcPr/>
          <w:p>
            <w:pPr>
              <w:pStyle w:val="Compact"/>
              <w:jc w:val="right"/>
            </w:pPr>
            <w:r>
              <w:t xml:space="preserve">4,196.00 AED</w:t>
            </w:r>
          </w:p>
        </w:tc>
      </w:tr>
      <w:tr>
        <w:tc>
          <w:tcPr/>
          <w:p>
            <w:pPr>
              <w:pStyle w:val="Compact"/>
              <w:jc w:val="left"/>
            </w:pPr>
            <w:r>
              <w:t xml:space="preserve">Travel &amp; Accommodation (Dubai, UAE)</w:t>
            </w:r>
          </w:p>
        </w:tc>
        <w:tc>
          <w:tcPr/>
          <w:p>
            <w:pPr>
              <w:pStyle w:val="Compact"/>
              <w:jc w:val="right"/>
            </w:pPr>
            <w:r>
              <w:t xml:space="preserve">2,350.00 AED</w:t>
            </w:r>
          </w:p>
        </w:tc>
      </w:tr>
      <w:tr>
        <w:tc>
          <w:tcPr/>
          <w:p>
            <w:pPr>
              <w:pStyle w:val="Compact"/>
              <w:jc w:val="left"/>
            </w:pPr>
            <w:r>
              <w:t xml:space="preserve">Software License Fees (SPSS, SAS)</w:t>
            </w:r>
          </w:p>
        </w:tc>
        <w:tc>
          <w:tcPr/>
          <w:p>
            <w:pPr>
              <w:pStyle w:val="Compact"/>
              <w:jc w:val="right"/>
            </w:pPr>
            <w:r>
              <w:t xml:space="preserve">1,200.00 AED</w:t>
            </w:r>
          </w:p>
        </w:tc>
      </w:tr>
      <w:tr>
        <w:tc>
          <w:tcPr/>
          <w:p>
            <w:pPr>
              <w:pStyle w:val="Compact"/>
              <w:jc w:val="left"/>
            </w:pPr>
            <w:r>
              <w:t xml:space="preserve">Grand Total Due</w:t>
            </w:r>
          </w:p>
        </w:tc>
        <w:tc>
          <w:tcPr/>
          <w:p>
            <w:pPr>
              <w:pStyle w:val="Compact"/>
              <w:jc w:val="right"/>
            </w:pPr>
            <w:r>
              <w:t xml:space="preserve">91,666.00 AED</w:t>
            </w:r>
          </w:p>
        </w:tc>
      </w:tr>
    </w:tbl>
    <w:bookmarkStart w:id="25" w:name="invoice-terms-conditions"/>
    <w:p>
      <w:pPr>
        <w:pStyle w:val="Heading4"/>
      </w:pPr>
      <w:r>
        <w:t xml:space="preserve">Invoice Terms &amp; Conditions</w:t>
      </w:r>
    </w:p>
    <w:p>
      <w:pPr>
        <w:pStyle w:val="FirstParagraph"/>
      </w:pPr>
      <w:r>
        <w:rPr>
          <w:bCs/>
          <w:b/>
        </w:rPr>
        <w:t xml:space="preserve">1.</w:t>
      </w:r>
      <w:r>
        <w:t xml:space="preserve"> </w:t>
      </w:r>
      <w:r>
        <w:t xml:space="preserve">This Invoice is issued in accordance with the Federal Tax Authority regulations of the United Arab Emirates and complies with all applicable VAT legislation in Dubai, UAE.</w:t>
      </w:r>
    </w:p>
    <w:p>
      <w:pPr>
        <w:pStyle w:val="BodyText"/>
      </w:pPr>
      <w:r>
        <w:rPr>
          <w:bCs/>
          <w:b/>
        </w:rPr>
        <w:t xml:space="preserve">2.</w:t>
      </w:r>
      <w:r>
        <w:t xml:space="preserve"> </w:t>
      </w:r>
      <w:r>
        <w:t xml:space="preserve">Payment of this Invoice is due within fifteen (15) calendar days from the Invoice date. Late payments shall accrue interest at a rate of 2% per month as stipulated in the master service agreement.</w:t>
      </w:r>
    </w:p>
    <w:p>
      <w:pPr>
        <w:pStyle w:val="BodyText"/>
      </w:pPr>
      <w:r>
        <w:rPr>
          <w:bCs/>
          <w:b/>
        </w:rPr>
        <w:t xml:space="preserve">3.</w:t>
      </w:r>
      <w:r>
        <w:t xml:space="preserve"> </w:t>
      </w:r>
      <w:r>
        <w:t xml:space="preserve">All statistical analyses, models, and reports produced by the Statistician under this engagement remain the intellectual property of the client upon full settlement of this Invoice.</w:t>
      </w:r>
    </w:p>
    <w:p>
      <w:pPr>
        <w:pStyle w:val="BodyText"/>
      </w:pPr>
      <w:r>
        <w:rPr>
          <w:bCs/>
          <w:b/>
        </w:rPr>
        <w:t xml:space="preserve">4.</w:t>
      </w:r>
      <w:r>
        <w:t xml:space="preserve"> </w:t>
      </w:r>
      <w:r>
        <w:t xml:space="preserve">The Statistician warrants that all quantitative methods, assumptions, and findings presented in the deliverables adhere to internationally recognized statistical standards (ASA, ISRA, and ISO 21500).</w:t>
      </w:r>
    </w:p>
    <w:p>
      <w:pPr>
        <w:pStyle w:val="BodyText"/>
      </w:pPr>
      <w:r>
        <w:rPr>
          <w:bCs/>
          <w:b/>
        </w:rPr>
        <w:t xml:space="preserve">5.</w:t>
      </w:r>
      <w:r>
        <w:t xml:space="preserve"> </w:t>
      </w:r>
      <w:r>
        <w:t xml:space="preserve">Payment may be made via bank transfer to: Apex Statistical Consulting LLC, Emirates NBD, Account No. 002-456789-001, SWIFT: EMIBAEAD. Please reference Invoice Number INV-2025-DXB-0487.</w:t>
      </w:r>
    </w:p>
    <w:p>
      <w:pPr>
        <w:pStyle w:val="BodyText"/>
      </w:pPr>
      <w:r>
        <w:rPr>
          <w:bCs/>
          <w:b/>
        </w:rPr>
        <w:t xml:space="preserve">6.</w:t>
      </w:r>
      <w:r>
        <w:t xml:space="preserve"> </w:t>
      </w:r>
      <w:r>
        <w:t xml:space="preserve">Any disputes arising from this Invoice shall be resolved through arbitration in Dubai, United Arab Emirates, in accordance with the DIFC Arbitration Rules.</w:t>
      </w:r>
    </w:p>
    <w:bookmarkEnd w:id="25"/>
    <w:p>
      <w:pPr>
        <w:pStyle w:val="BodyText"/>
      </w:pPr>
      <w:r>
        <w:t xml:space="preserve">This Invoice was generated by Apex Statistical Consulting LLC, a licensed professional services firm registered in Dubai, United Arab Emirates. The Statistician services described herein were performed in full compliance with UAE professional licensing requirements. For queries regarding this Invoice, please contact our billing department at billing@apexstat.ae or +971 4 555 0192.</w:t>
      </w:r>
    </w:p>
    <w:p>
      <w:pPr>
        <w:pStyle w:val="BodyText"/>
      </w:pPr>
      <w:r>
        <w:t xml:space="preserve">© 2025 Apex Statistical Consulting LLC — Dubai, United Arab Emirates.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Arab Emirates Dubai</dc:title>
  <dc:creator/>
  <dc:language>en</dc:language>
  <cp:keywords/>
  <dcterms:created xsi:type="dcterms:W3CDTF">2026-10-10T10:20:36Z</dcterms:created>
  <dcterms:modified xsi:type="dcterms:W3CDTF">2026-10-10T10:20:36Z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