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Statistician Services</w:t>
      </w:r>
    </w:p>
    <w:p>
      <w:pPr>
        <w:pStyle w:val="BodyText"/>
      </w:pPr>
      <w:r>
        <w:t xml:space="preserve">Birmingham, United Kingdom</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INV-2025-BHM-0047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Status:</w:t>
      </w:r>
      <w:r>
        <w:t xml:space="preserve"> </w:t>
      </w:r>
      <w:r>
        <w:t xml:space="preserve">Pending</w:t>
      </w:r>
    </w:p>
    <w:bookmarkEnd w:id="21"/>
    <w:bookmarkStart w:id="22" w:name="from-service-provider"/>
    <w:p>
      <w:pPr>
        <w:pStyle w:val="Heading4"/>
      </w:pPr>
      <w:r>
        <w:t xml:space="preserve">From (Service Provider)</w:t>
      </w:r>
    </w:p>
    <w:p>
      <w:pPr>
        <w:pStyle w:val="FirstParagraph"/>
      </w:pPr>
      <w:r>
        <w:t xml:space="preserve">Dr. Eleanor Whitfield, MSc, FStat</w:t>
      </w:r>
    </w:p>
    <w:p>
      <w:pPr>
        <w:pStyle w:val="BodyText"/>
      </w:pPr>
      <w:r>
        <w:t xml:space="preserve">Lead Statistician &amp; Quantitative Analyst</w:t>
      </w:r>
    </w:p>
    <w:p>
      <w:pPr>
        <w:pStyle w:val="BodyText"/>
      </w:pPr>
      <w:r>
        <w:t xml:space="preserve">Whitfield Statistical Consulting Ltd.</w:t>
      </w:r>
    </w:p>
    <w:p>
      <w:pPr>
        <w:pStyle w:val="BodyText"/>
      </w:pPr>
      <w:r>
        <w:t xml:space="preserve">Suite 412, Centenary House</w:t>
      </w:r>
    </w:p>
    <w:p>
      <w:pPr>
        <w:pStyle w:val="BodyText"/>
      </w:pPr>
      <w:r>
        <w:t xml:space="preserve">1000 New Street, Birmingham</w:t>
      </w:r>
    </w:p>
    <w:p>
      <w:pPr>
        <w:pStyle w:val="BodyText"/>
      </w:pPr>
      <w:r>
        <w:t xml:space="preserve">B3 1AE, United Kingdom</w:t>
      </w:r>
    </w:p>
    <w:p>
      <w:pPr>
        <w:pStyle w:val="BodyText"/>
      </w:pPr>
      <w:r>
        <w:t xml:space="preserve">Tel: +44 (0)121 456 7890</w:t>
      </w:r>
    </w:p>
    <w:p>
      <w:pPr>
        <w:pStyle w:val="BodyText"/>
      </w:pPr>
      <w:r>
        <w:t xml:space="preserve">Email: e.whitfield@whitfieldstats.co.uk</w:t>
      </w:r>
    </w:p>
    <w:p>
      <w:pPr>
        <w:pStyle w:val="BodyText"/>
      </w:pPr>
      <w:r>
        <w:t xml:space="preserve">VAT No: GB 987654321</w:t>
      </w:r>
    </w:p>
    <w:p>
      <w:pPr>
        <w:pStyle w:val="BodyText"/>
      </w:pPr>
      <w:r>
        <w:t xml:space="preserve">Company Reg: 12345678 (Companies House, United Kingdom)</w:t>
      </w:r>
    </w:p>
    <w:bookmarkEnd w:id="22"/>
    <w:bookmarkStart w:id="23" w:name="bill-to-client"/>
    <w:p>
      <w:pPr>
        <w:pStyle w:val="Heading4"/>
      </w:pPr>
      <w:r>
        <w:t xml:space="preserve">Bill To (Client)</w:t>
      </w:r>
    </w:p>
    <w:p>
      <w:pPr>
        <w:pStyle w:val="FirstParagraph"/>
      </w:pPr>
      <w:r>
        <w:t xml:space="preserve">Meridian Health &amp; Research Group</w:t>
      </w:r>
    </w:p>
    <w:p>
      <w:pPr>
        <w:pStyle w:val="BodyText"/>
      </w:pPr>
      <w:r>
        <w:t xml:space="preserve">Attn: Mr. James Thornton, Head of Data Science</w:t>
      </w:r>
    </w:p>
    <w:p>
      <w:pPr>
        <w:pStyle w:val="BodyText"/>
      </w:pPr>
      <w:r>
        <w:t xml:space="preserve">Level 7, The Exchange Tower</w:t>
      </w:r>
    </w:p>
    <w:p>
      <w:pPr>
        <w:pStyle w:val="BodyText"/>
      </w:pPr>
      <w:r>
        <w:t xml:space="preserve">1200 Colmore Row, Birmingham</w:t>
      </w:r>
    </w:p>
    <w:p>
      <w:pPr>
        <w:pStyle w:val="BodyText"/>
      </w:pPr>
      <w:r>
        <w:t xml:space="preserve">B3 2AA, United Kingdom</w:t>
      </w:r>
    </w:p>
    <w:p>
      <w:pPr>
        <w:pStyle w:val="BodyText"/>
      </w:pPr>
      <w:r>
        <w:t xml:space="preserve">Tel: +44 (0)121 555 2341</w:t>
      </w:r>
    </w:p>
    <w:p>
      <w:pPr>
        <w:pStyle w:val="BodyText"/>
      </w:pPr>
      <w:r>
        <w:t xml:space="preserve">Email: j.thornton@meridianhr.co.uk</w:t>
      </w:r>
    </w:p>
    <w:p>
      <w:pPr>
        <w:pStyle w:val="BodyText"/>
      </w:pPr>
      <w:r>
        <w:t xml:space="preserve">VAT No: GB 112233445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statistical modelling and regression analysis for clinical trial data. The Statistician conducted multivariate logistic regression, survival analysis (Cox proportional hazards), and power calculations for a Phase III oncology study. All analyses performed in R and SAS per United Kingdom Birmingham regulatory standards.</w:t>
            </w:r>
          </w:p>
        </w:tc>
        <w:tc>
          <w:tcPr/>
          <w:p>
            <w:pPr>
              <w:pStyle w:val="Compact"/>
              <w:jc w:val="left"/>
            </w:pPr>
            <w:r>
              <w:t xml:space="preserve">02 Jun 2025</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Design and implementation of a stratified randomised controlled trial protocol. The Statistician prepared the statistical analysis plan (SAP), defined primary and secondary endpoints, calculated required sample sizes, and established interim analysis boundaries for the Birmingham-based research consortium.</w:t>
            </w:r>
          </w:p>
        </w:tc>
        <w:tc>
          <w:tcPr/>
          <w:p>
            <w:pPr>
              <w:pStyle w:val="Compact"/>
              <w:jc w:val="left"/>
            </w:pPr>
            <w:r>
              <w:t xml:space="preserve">05 Jun 2025</w:t>
            </w:r>
          </w:p>
        </w:tc>
        <w:tc>
          <w:tcPr/>
          <w:p>
            <w:pPr>
              <w:pStyle w:val="Compact"/>
              <w:jc w:val="left"/>
            </w:pPr>
            <w:r>
              <w:t xml:space="preserve">£185.00/hr</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Bayesian hierarchical modelling of regional health outcome data across the West Midlands. The Statistician developed a multi-level Bayesian model incorporating spatial autocorrelation, produced posterior distributions, and generated predictive intervals for policy recommendations to Birmingham City Council.</w:t>
            </w:r>
          </w:p>
        </w:tc>
        <w:tc>
          <w:tcPr/>
          <w:p>
            <w:pPr>
              <w:pStyle w:val="Compact"/>
              <w:jc w:val="left"/>
            </w:pPr>
            <w:r>
              <w:t xml:space="preserve">09 Jun 2025</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Statistical audit and quality assurance review of existing data pipelines. The Statistician performed data integrity checks, outlier detection, missing data imputation strategy review, and produced a formal audit report compliant with United Kingdom data protection regulations (UK GDPR).</w:t>
            </w:r>
          </w:p>
        </w:tc>
        <w:tc>
          <w:tcPr/>
          <w:p>
            <w:pPr>
              <w:pStyle w:val="Compact"/>
              <w:jc w:val="left"/>
            </w:pPr>
            <w:r>
              <w:t xml:space="preserve">11 Jun 2025</w:t>
            </w:r>
          </w:p>
        </w:tc>
        <w:tc>
          <w:tcPr/>
          <w:p>
            <w:pPr>
              <w:pStyle w:val="Compact"/>
              <w:jc w:val="left"/>
            </w:pPr>
            <w:r>
              <w:t xml:space="preserve">£185.00/hr</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Client presentation and technical workshop. The Statistician delivered a two-hour on-site workshop at the client's Birmingham office, presenting findings, visualisations, and actionable insights. Included preparation of executive summary, technical appendix, and interactive dashboards.</w:t>
            </w:r>
          </w:p>
        </w:tc>
        <w:tc>
          <w:tcPr/>
          <w:p>
            <w:pPr>
              <w:pStyle w:val="Compact"/>
              <w:jc w:val="left"/>
            </w:pPr>
            <w:r>
              <w:t xml:space="preserve">13 Jun 2025</w:t>
            </w:r>
          </w:p>
        </w:tc>
        <w:tc>
          <w:tcPr/>
          <w:p>
            <w:pPr>
              <w:pStyle w:val="Compact"/>
              <w:jc w:val="left"/>
            </w:pPr>
            <w:r>
              <w:t xml:space="preserve">£185.00/hr</w:t>
            </w:r>
          </w:p>
        </w:tc>
        <w:tc>
          <w:tcPr/>
          <w:p>
            <w:pPr>
              <w:pStyle w:val="Compact"/>
              <w:jc w:val="left"/>
            </w:pPr>
            <w:r>
              <w:t xml:space="preserve">£1,110.00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£14,430.00</w:t>
            </w:r>
          </w:p>
        </w:tc>
      </w:tr>
      <w:tr>
        <w:tc>
          <w:tcPr/>
          <w:p>
            <w:pPr>
              <w:pStyle w:val="Compact"/>
              <w:jc w:val="left"/>
            </w:pPr>
            <w:r>
              <w:t xml:space="preserve">VAT @ 20% (United Kingdom)</w:t>
            </w:r>
          </w:p>
        </w:tc>
        <w:tc>
          <w:tcPr/>
          <w:p>
            <w:pPr>
              <w:pStyle w:val="Compact"/>
              <w:jc w:val="left"/>
            </w:pPr>
            <w:r>
              <w:t xml:space="preserve">£2,886.00</w:t>
            </w:r>
          </w:p>
        </w:tc>
      </w:tr>
      <w:tr>
        <w:tc>
          <w:tcPr/>
          <w:p>
            <w:pPr>
              <w:pStyle w:val="Compact"/>
              <w:jc w:val="left"/>
            </w:pPr>
            <w:r>
              <w:t xml:space="preserve">Total Due (GBP)</w:t>
            </w:r>
          </w:p>
        </w:tc>
        <w:tc>
          <w:tcPr/>
          <w:p>
            <w:pPr>
              <w:pStyle w:val="Compact"/>
              <w:jc w:val="left"/>
            </w:pPr>
            <w:r>
              <w:t xml:space="preserve">£17,316.00</w:t>
            </w:r>
          </w:p>
        </w:tc>
      </w:tr>
    </w:tbl>
    <w:bookmarkStart w:id="24"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days of the Invoice date (by 14 July 2025).</w:t>
      </w:r>
    </w:p>
    <w:p>
      <w:pPr>
        <w:pStyle w:val="BodyText"/>
      </w:pPr>
      <w:r>
        <w:rPr>
          <w:bCs/>
          <w:b/>
        </w:rPr>
        <w:t xml:space="preserve">Payment Method:</w:t>
      </w:r>
      <w:r>
        <w:t xml:space="preserve"> </w:t>
      </w:r>
      <w:r>
        <w:t xml:space="preserve">Bank Transfer (BACS) to Whitfield Statistical Consulting Ltd.</w:t>
      </w:r>
    </w:p>
    <w:p>
      <w:pPr>
        <w:pStyle w:val="BodyText"/>
      </w:pPr>
      <w:r>
        <w:rPr>
          <w:bCs/>
          <w:b/>
        </w:rPr>
        <w:t xml:space="preserve">Bank:</w:t>
      </w:r>
      <w:r>
        <w:t xml:space="preserve"> </w:t>
      </w:r>
      <w:r>
        <w:t xml:space="preserve">NatWest, Birmingham Branch, United Kingdom</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5521 8834 07</w:t>
      </w:r>
    </w:p>
    <w:p>
      <w:pPr>
        <w:pStyle w:val="BodyText"/>
      </w:pPr>
      <w:r>
        <w:rPr>
          <w:bCs/>
          <w:b/>
        </w:rPr>
        <w:t xml:space="preserve">Reference:</w:t>
      </w:r>
      <w:r>
        <w:t xml:space="preserve"> </w:t>
      </w:r>
      <w:r>
        <w:t xml:space="preserve">INV-2025-BHM-0047</w:t>
      </w:r>
    </w:p>
    <w:p>
      <w:pPr>
        <w:pStyle w:val="BodyText"/>
      </w:pPr>
      <w:r>
        <w:rPr>
          <w:bCs/>
          <w:b/>
        </w:rPr>
        <w:t xml:space="preserve">SWIFT/BIC:</w:t>
      </w:r>
      <w:r>
        <w:t xml:space="preserve"> </w:t>
      </w:r>
      <w:r>
        <w:t xml:space="preserve">NWBKGB2L</w:t>
      </w:r>
    </w:p>
    <w:p>
      <w:pPr>
        <w:pStyle w:val="BodyText"/>
      </w:pPr>
      <w:r>
        <w:rPr>
          <w:bCs/>
          <w:b/>
        </w:rPr>
        <w:t xml:space="preserve">Late Payment:</w:t>
      </w:r>
      <w:r>
        <w:t xml:space="preserve"> </w:t>
      </w:r>
      <w:r>
        <w:t xml:space="preserve">In accordance with the Late Payment of Commercial Debts (Interest) Act 1998, interest at 4% above the Bank of England base rate will accrue on overdue amounts. This Invoice is governed by the laws of England and Wales, United Kingdom.</w:t>
      </w:r>
    </w:p>
    <w:bookmarkEnd w:id="24"/>
    <w:bookmarkStart w:id="25" w:name="notes-additional-information"/>
    <w:p>
      <w:pPr>
        <w:pStyle w:val="Heading4"/>
      </w:pPr>
      <w:r>
        <w:t xml:space="preserve">Notes &amp; Additional Information</w:t>
      </w:r>
    </w:p>
    <w:p>
      <w:pPr>
        <w:pStyle w:val="FirstParagraph"/>
      </w:pPr>
      <w:r>
        <w:t xml:space="preserve">This Invoice covers all professional services rendered by the Statistician, Dr. Eleanor Whitfield, during the period of 2 June 2025 to 13 June 2025. All statistical analyses, modelling work, and consulting engagements were conducted in accordance with the Royal Statistical Society (RSS) Code of Conduct and the professional standards expected of a Chartered Statistician practising in the United Kingdom.</w:t>
      </w:r>
    </w:p>
    <w:p>
      <w:pPr>
        <w:pStyle w:val="BodyText"/>
      </w:pPr>
      <w:r>
        <w:t xml:space="preserve">The Statistician confirms that all data processing was carried out in full compliance with the UK General Data Protection Regulation (UK GDPR) and the Data Protection Act 2018. No client data has been transferred outside the United Kingdom. All deliverables, including statistical reports, code repositories, and visualisation assets, have been handed over to the client as specified in the original engagement letter dated 28 May 2025.</w:t>
      </w:r>
    </w:p>
    <w:p>
      <w:pPr>
        <w:pStyle w:val="BodyText"/>
      </w:pPr>
      <w:r>
        <w:t xml:space="preserve">Should the client require any clarification regarding the line items on this Invoice, or wish to discuss the scope of future Statistician engagements in Birmingham or elsewhere in the United Kingdom, please contact the undersigned directly. Whitfield Statistical Consulting Ltd. is a registered company in England and Wales and operates from its principal office in Birmingham, United Kingdom.</w:t>
      </w:r>
    </w:p>
    <w:p>
      <w:pPr>
        <w:pStyle w:val="BodyText"/>
      </w:pPr>
      <w:r>
        <w:t xml:space="preserve">Thank you for your continued trust in our statistical expertise. We look forward to supporting Meridian Health &amp; Research Group with further quantitative analysis and data-driven decision-making in the coming months.</w:t>
      </w:r>
    </w:p>
    <w:bookmarkEnd w:id="25"/>
    <w:p>
      <w:pPr>
        <w:pStyle w:val="BodyText"/>
      </w:pPr>
      <w:r>
        <w:rPr>
          <w:bCs/>
          <w:b/>
        </w:rPr>
        <w:t xml:space="preserve">Whitfield Statistical Consulting Ltd.</w:t>
      </w:r>
      <w:r>
        <w:t xml:space="preserve"> </w:t>
      </w:r>
      <w:r>
        <w:t xml:space="preserve">| Suite 412, Centenary House, 1000 New Street, Birmingham B3 1AE, United Kingdom</w:t>
      </w:r>
    </w:p>
    <w:p>
      <w:pPr>
        <w:pStyle w:val="BodyText"/>
      </w:pPr>
      <w:r>
        <w:t xml:space="preserve">Registered in England &amp; Wales No. 12345678 | VAT Registered: GB 987654321 | Member, Royal Statistical Society (RSS)</w:t>
      </w:r>
    </w:p>
    <w:p>
      <w:pPr>
        <w:pStyle w:val="BodyText"/>
      </w:pPr>
      <w:r>
        <w:t xml:space="preserve">This Invoice was generated electronically and is valid without a physical signature. For queries, reference Invoice No. INV-2025-BHM-0047.</w:t>
      </w:r>
    </w:p>
    <w:p>
      <w:pPr>
        <w:pStyle w:val="BodyText"/>
      </w:pPr>
      <w:r>
        <w:t xml:space="preserve">© 2025 Whitfield Statistical Consulting Ltd. All rights reserved.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Birmingham, United Kingdom</dc:title>
  <dc:creator/>
  <dc:language>en-GB</dc:language>
  <cp:keywords/>
  <dcterms:created xsi:type="dcterms:W3CDTF">2026-10-10T04:34:08Z</dcterms:created>
  <dcterms:modified xsi:type="dcterms:W3CDTF">2026-10-10T04:34:08Z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