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Statistical Consulting Services</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INV-2025-LDN-0047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Status:</w:t>
      </w:r>
      <w:r>
        <w:t xml:space="preserve"> </w:t>
      </w:r>
      <w:r>
        <w:t xml:space="preserve">Pending</w:t>
      </w:r>
    </w:p>
    <w:bookmarkEnd w:id="21"/>
    <w:bookmarkStart w:id="22" w:name="from-service-provider"/>
    <w:p>
      <w:pPr>
        <w:pStyle w:val="Heading4"/>
      </w:pPr>
      <w:r>
        <w:t xml:space="preserve">From (Service Provider)</w:t>
      </w:r>
    </w:p>
    <w:p>
      <w:pPr>
        <w:pStyle w:val="FirstParagraph"/>
      </w:pPr>
      <w:r>
        <w:rPr>
          <w:bCs/>
          <w:b/>
        </w:rPr>
        <w:t xml:space="preserve">Dr. Eleanor Whitfield, MSc, FStat</w:t>
      </w:r>
    </w:p>
    <w:p>
      <w:pPr>
        <w:pStyle w:val="BodyText"/>
      </w:pPr>
      <w:r>
        <w:t xml:space="preserve">Lead Statistician &amp; Principal Consultant</w:t>
      </w:r>
    </w:p>
    <w:p>
      <w:pPr>
        <w:pStyle w:val="BodyText"/>
      </w:pPr>
      <w:r>
        <w:t xml:space="preserve">Whitfield Statistical Analytics Ltd.</w:t>
      </w:r>
    </w:p>
    <w:p>
      <w:pPr>
        <w:pStyle w:val="BodyText"/>
      </w:pPr>
      <w:r>
        <w:t xml:space="preserve">12 Regent Street, Suite 408</w:t>
      </w:r>
    </w:p>
    <w:p>
      <w:pPr>
        <w:pStyle w:val="BodyText"/>
      </w:pPr>
      <w:r>
        <w:t xml:space="preserve">London, W1B 5AD</w:t>
      </w:r>
    </w:p>
    <w:p>
      <w:pPr>
        <w:pStyle w:val="BodyText"/>
      </w:pPr>
      <w:r>
        <w:t xml:space="preserve">United Kingdom</w:t>
      </w:r>
    </w:p>
    <w:p>
      <w:pPr>
        <w:pStyle w:val="BodyText"/>
      </w:pPr>
      <w:r>
        <w:t xml:space="preserve">Tel: +44 (0)20 7946 0821</w:t>
      </w:r>
    </w:p>
    <w:p>
      <w:pPr>
        <w:pStyle w:val="BodyText"/>
      </w:pPr>
      <w:r>
        <w:t xml:space="preserve">Email: e.whitfield@wstatanalytics.co.uk</w:t>
      </w:r>
    </w:p>
    <w:p>
      <w:pPr>
        <w:pStyle w:val="BodyText"/>
      </w:pPr>
      <w:r>
        <w:t xml:space="preserve">VAT Registration: GB 123 4567 89</w:t>
      </w:r>
    </w:p>
    <w:bookmarkEnd w:id="22"/>
    <w:bookmarkStart w:id="23" w:name="billed-to-client"/>
    <w:p>
      <w:pPr>
        <w:pStyle w:val="Heading4"/>
      </w:pPr>
      <w:r>
        <w:t xml:space="preserve">Billed To (Client)</w:t>
      </w:r>
    </w:p>
    <w:p>
      <w:pPr>
        <w:pStyle w:val="FirstParagraph"/>
      </w:pPr>
      <w:r>
        <w:rPr>
          <w:bCs/>
          <w:b/>
        </w:rPr>
        <w:t xml:space="preserve">Meridian Health Research Group</w:t>
      </w:r>
    </w:p>
    <w:p>
      <w:pPr>
        <w:pStyle w:val="BodyText"/>
      </w:pPr>
      <w:r>
        <w:t xml:space="preserve">Attn: Mr. James Calloway, Director of Research</w:t>
      </w:r>
    </w:p>
    <w:p>
      <w:pPr>
        <w:pStyle w:val="BodyText"/>
      </w:pPr>
      <w:r>
        <w:t xml:space="preserve">45 Finsbury Square</w:t>
      </w:r>
    </w:p>
    <w:p>
      <w:pPr>
        <w:pStyle w:val="BodyText"/>
      </w:pPr>
      <w:r>
        <w:t xml:space="preserve">London, EC2A 1AE</w:t>
      </w:r>
    </w:p>
    <w:p>
      <w:pPr>
        <w:pStyle w:val="BodyText"/>
      </w:pPr>
      <w:r>
        <w:t xml:space="preserve">United Kingdom</w:t>
      </w:r>
    </w:p>
    <w:p>
      <w:pPr>
        <w:pStyle w:val="BodyText"/>
      </w:pPr>
      <w:r>
        <w:t xml:space="preserve">Tel: +44 (0)20 7845 3312</w:t>
      </w:r>
    </w:p>
    <w:p>
      <w:pPr>
        <w:pStyle w:val="BodyText"/>
      </w:pPr>
      <w:r>
        <w:t xml:space="preserve">Email: j.calloway@meridianhr.co.uk</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 / Duration</w:t>
            </w:r>
          </w:p>
        </w:tc>
        <w:tc>
          <w:tcPr/>
          <w:p>
            <w:pPr>
              <w:pStyle w:val="Compact"/>
              <w:jc w:val="left"/>
            </w:pPr>
            <w:r>
              <w:t xml:space="preserve">Rate (GBP)</w:t>
            </w:r>
          </w:p>
        </w:tc>
        <w:tc>
          <w:tcPr/>
          <w:p>
            <w:pPr>
              <w:pStyle w:val="Compact"/>
              <w:jc w:val="right"/>
            </w:pPr>
            <w:r>
              <w:t xml:space="preserve">Amount (GBP)</w:t>
            </w:r>
          </w:p>
        </w:tc>
      </w:tr>
      <w:tr>
        <w:tc>
          <w:tcPr/>
          <w:p>
            <w:pPr>
              <w:pStyle w:val="Compact"/>
              <w:jc w:val="left"/>
            </w:pPr>
            <w:r>
              <w:t xml:space="preserve">01</w:t>
            </w:r>
          </w:p>
        </w:tc>
        <w:tc>
          <w:tcPr/>
          <w:p>
            <w:pPr>
              <w:pStyle w:val="Compact"/>
              <w:jc w:val="left"/>
            </w:pPr>
            <w:r>
              <w:rPr>
                <w:bCs/>
                <w:b/>
              </w:rPr>
              <w:t xml:space="preserve">Statistical Design &amp; Methodology Consultation</w:t>
            </w:r>
            <w:r>
              <w:br/>
            </w:r>
            <w:r>
              <w:t xml:space="preserve">Comprehensive design of a multi-centre clinical trial protocol. The Statistician provided expert guidance on sample size calculation, randomisation strategy, and primary/secondary endpoint selection in accordance with MHRA and EMA regulatory frameworks applicable in United Kingdom London.</w:t>
            </w:r>
          </w:p>
        </w:tc>
        <w:tc>
          <w:tcPr/>
          <w:p>
            <w:pPr>
              <w:pStyle w:val="Compact"/>
              <w:jc w:val="left"/>
            </w:pPr>
            <w:r>
              <w:t xml:space="preserve">March 2025</w:t>
            </w:r>
            <w:r>
              <w:br/>
            </w:r>
            <w:r>
              <w:t xml:space="preserve">3 weeks</w:t>
            </w:r>
          </w:p>
        </w:tc>
        <w:tc>
          <w:tcPr/>
          <w:p>
            <w:pPr>
              <w:pStyle w:val="Compact"/>
              <w:jc w:val="left"/>
            </w:pPr>
            <w:r>
              <w:t xml:space="preserve">£185.00/hr</w:t>
            </w:r>
          </w:p>
        </w:tc>
        <w:tc>
          <w:tcPr/>
          <w:p>
            <w:pPr>
              <w:pStyle w:val="Compact"/>
              <w:jc w:val="right"/>
            </w:pPr>
            <w:r>
              <w:t xml:space="preserve">£4,440.00</w:t>
            </w:r>
          </w:p>
        </w:tc>
      </w:tr>
      <w:tr>
        <w:tc>
          <w:tcPr/>
          <w:p>
            <w:pPr>
              <w:pStyle w:val="Compact"/>
              <w:jc w:val="left"/>
            </w:pPr>
            <w:r>
              <w:t xml:space="preserve">02</w:t>
            </w:r>
          </w:p>
        </w:tc>
        <w:tc>
          <w:tcPr/>
          <w:p>
            <w:pPr>
              <w:pStyle w:val="Compact"/>
              <w:jc w:val="left"/>
            </w:pPr>
            <w:r>
              <w:rPr>
                <w:bCs/>
                <w:b/>
              </w:rPr>
              <w:t xml:space="preserve">Data Analysis &amp; Modelling</w:t>
            </w:r>
            <w:r>
              <w:br/>
            </w:r>
            <w:r>
              <w:t xml:space="preserve">Execution of advanced multivariate regression analysis, survival modelling (Cox proportional hazards), and Bayesian hierarchical modelling on a dataset of 12,400 patient records. All analyses conducted by the Statistician using R, SAS, and Python within the secure data environment in United Kingdom London.</w:t>
            </w:r>
          </w:p>
        </w:tc>
        <w:tc>
          <w:tcPr/>
          <w:p>
            <w:pPr>
              <w:pStyle w:val="Compact"/>
              <w:jc w:val="left"/>
            </w:pPr>
            <w:r>
              <w:t xml:space="preserve">April 2025</w:t>
            </w:r>
            <w:r>
              <w:br/>
            </w:r>
            <w:r>
              <w:t xml:space="preserve">5 weeks</w:t>
            </w:r>
          </w:p>
        </w:tc>
        <w:tc>
          <w:tcPr/>
          <w:p>
            <w:pPr>
              <w:pStyle w:val="Compact"/>
              <w:jc w:val="left"/>
            </w:pPr>
            <w:r>
              <w:t xml:space="preserve">£185.00/hr</w:t>
            </w:r>
          </w:p>
        </w:tc>
        <w:tc>
          <w:tcPr/>
          <w:p>
            <w:pPr>
              <w:pStyle w:val="Compact"/>
              <w:jc w:val="right"/>
            </w:pPr>
            <w:r>
              <w:t xml:space="preserve">£7,410.00</w:t>
            </w:r>
          </w:p>
        </w:tc>
      </w:tr>
      <w:tr>
        <w:tc>
          <w:tcPr/>
          <w:p>
            <w:pPr>
              <w:pStyle w:val="Compact"/>
              <w:jc w:val="left"/>
            </w:pPr>
            <w:r>
              <w:t xml:space="preserve">03</w:t>
            </w:r>
          </w:p>
        </w:tc>
        <w:tc>
          <w:tcPr/>
          <w:p>
            <w:pPr>
              <w:pStyle w:val="Compact"/>
              <w:jc w:val="left"/>
            </w:pPr>
            <w:r>
              <w:rPr>
                <w:bCs/>
                <w:b/>
              </w:rPr>
              <w:t xml:space="preserve">Regulatory Reporting &amp; Documentation</w:t>
            </w:r>
            <w:r>
              <w:br/>
            </w:r>
            <w:r>
              <w:t xml:space="preserve">Preparation of the Clinical Study Report (CSR) statistical section, including the Integrated Summary of Safety and Integrated Summary of Efficacy. The Statistician ensured full compliance with ICH E3 guidelines and MHRA submission requirements for the United Kingdom London regulatory jurisdiction.</w:t>
            </w:r>
          </w:p>
        </w:tc>
        <w:tc>
          <w:tcPr/>
          <w:p>
            <w:pPr>
              <w:pStyle w:val="Compact"/>
              <w:jc w:val="left"/>
            </w:pPr>
            <w:r>
              <w:t xml:space="preserve">May 2025</w:t>
            </w:r>
            <w:r>
              <w:br/>
            </w:r>
            <w:r>
              <w:t xml:space="preserve">4 weeks</w:t>
            </w:r>
          </w:p>
        </w:tc>
        <w:tc>
          <w:tcPr/>
          <w:p>
            <w:pPr>
              <w:pStyle w:val="Compact"/>
              <w:jc w:val="left"/>
            </w:pPr>
            <w:r>
              <w:t xml:space="preserve">£185.00/hr</w:t>
            </w:r>
          </w:p>
        </w:tc>
        <w:tc>
          <w:tcPr/>
          <w:p>
            <w:pPr>
              <w:pStyle w:val="Compact"/>
              <w:jc w:val="right"/>
            </w:pPr>
            <w:r>
              <w:t xml:space="preserve">£5,920.00</w:t>
            </w:r>
          </w:p>
        </w:tc>
      </w:tr>
      <w:tr>
        <w:tc>
          <w:tcPr/>
          <w:p>
            <w:pPr>
              <w:pStyle w:val="Compact"/>
              <w:jc w:val="left"/>
            </w:pPr>
            <w:r>
              <w:t xml:space="preserve">04</w:t>
            </w:r>
          </w:p>
        </w:tc>
        <w:tc>
          <w:tcPr/>
          <w:p>
            <w:pPr>
              <w:pStyle w:val="Compact"/>
              <w:jc w:val="left"/>
            </w:pPr>
            <w:r>
              <w:rPr>
                <w:bCs/>
                <w:b/>
              </w:rPr>
              <w:t xml:space="preserve">Peer Review &amp; Quality Assurance</w:t>
            </w:r>
            <w:r>
              <w:br/>
            </w:r>
            <w:r>
              <w:t xml:space="preserve">Independent statistical peer review of the client's interim analysis report. The Statistician verified all computational outputs, checked for data integrity issues, and provided a written quality assurance memorandum. Conducted in accordance with Good Statistical Practice standards as defined by the Royal Statistical Society, United Kingdom.</w:t>
            </w:r>
          </w:p>
        </w:tc>
        <w:tc>
          <w:tcPr/>
          <w:p>
            <w:pPr>
              <w:pStyle w:val="Compact"/>
              <w:jc w:val="left"/>
            </w:pPr>
            <w:r>
              <w:t xml:space="preserve">May 2025</w:t>
            </w:r>
            <w:r>
              <w:br/>
            </w:r>
            <w:r>
              <w:t xml:space="preserve">1 week</w:t>
            </w:r>
          </w:p>
        </w:tc>
        <w:tc>
          <w:tcPr/>
          <w:p>
            <w:pPr>
              <w:pStyle w:val="Compact"/>
              <w:jc w:val="left"/>
            </w:pPr>
            <w:r>
              <w:t xml:space="preserve">£185.00/hr</w:t>
            </w:r>
          </w:p>
        </w:tc>
        <w:tc>
          <w:tcPr/>
          <w:p>
            <w:pPr>
              <w:pStyle w:val="Compact"/>
              <w:jc w:val="right"/>
            </w:pPr>
            <w:r>
              <w:t xml:space="preserve">£1,480.00</w:t>
            </w:r>
          </w:p>
        </w:tc>
      </w:tr>
      <w:tr>
        <w:tc>
          <w:tcPr/>
          <w:p>
            <w:pPr>
              <w:pStyle w:val="Compact"/>
              <w:jc w:val="left"/>
            </w:pPr>
            <w:r>
              <w:t xml:space="preserve">05</w:t>
            </w:r>
          </w:p>
        </w:tc>
        <w:tc>
          <w:tcPr/>
          <w:p>
            <w:pPr>
              <w:pStyle w:val="Compact"/>
              <w:jc w:val="left"/>
            </w:pPr>
            <w:r>
              <w:rPr>
                <w:bCs/>
                <w:b/>
              </w:rPr>
              <w:t xml:space="preserve">Training Workshop for Research Team</w:t>
            </w:r>
            <w:r>
              <w:br/>
            </w:r>
            <w:r>
              <w:t xml:space="preserve">A full-day on-site training session delivered by the Statistician to the client's research team in London, United Kingdom. Topics covered included: principles of statistical inference, interpretation of confidence intervals, p-values and effect sizes, and best practices for reporting statistical findings in peer-reviewed publications.</w:t>
            </w:r>
          </w:p>
        </w:tc>
        <w:tc>
          <w:tcPr/>
          <w:p>
            <w:pPr>
              <w:pStyle w:val="Compact"/>
              <w:jc w:val="left"/>
            </w:pPr>
            <w:r>
              <w:t xml:space="preserve">June 2025</w:t>
            </w:r>
            <w:r>
              <w:br/>
            </w:r>
            <w:r>
              <w:t xml:space="preserve">1 day</w:t>
            </w:r>
          </w:p>
        </w:tc>
        <w:tc>
          <w:tcPr/>
          <w:p>
            <w:pPr>
              <w:pStyle w:val="Compact"/>
              <w:jc w:val="left"/>
            </w:pPr>
            <w:r>
              <w:t xml:space="preserve">£1,200.00 flat</w:t>
            </w:r>
          </w:p>
        </w:tc>
        <w:tc>
          <w:tcPr/>
          <w:p>
            <w:pPr>
              <w:pStyle w:val="Compact"/>
              <w:jc w:val="right"/>
            </w:pPr>
            <w:r>
              <w:t xml:space="preserve">£1,200.00</w:t>
            </w:r>
          </w:p>
        </w:tc>
      </w:tr>
      <w:tr>
        <w:tc>
          <w:tcPr/>
          <w:p>
            <w:pPr>
              <w:pStyle w:val="Compact"/>
              <w:jc w:val="left"/>
            </w:pPr>
            <w:r>
              <w:t xml:space="preserve">06</w:t>
            </w:r>
          </w:p>
        </w:tc>
        <w:tc>
          <w:tcPr/>
          <w:p>
            <w:pPr>
              <w:pStyle w:val="Compact"/>
              <w:jc w:val="left"/>
            </w:pPr>
            <w:r>
              <w:rPr>
                <w:bCs/>
                <w:b/>
              </w:rPr>
              <w:t xml:space="preserve">Travel &amp; Ancillary Expenses</w:t>
            </w:r>
            <w:r>
              <w:br/>
            </w:r>
            <w:r>
              <w:t xml:space="preserve">Travel costs for on-site meetings at the client's Finsbury Square office in London, United Kingdom. Includes London Underground travel, parking at Regent Street, and printing of statistical charts and visualisations for the client's board presentation.</w:t>
            </w:r>
          </w:p>
        </w:tc>
        <w:tc>
          <w:tcPr/>
          <w:p>
            <w:pPr>
              <w:pStyle w:val="Compact"/>
              <w:jc w:val="left"/>
            </w:pPr>
            <w:r>
              <w:t xml:space="preserve">Mar–Jun 2025</w:t>
            </w:r>
          </w:p>
        </w:tc>
        <w:tc>
          <w:tcPr/>
          <w:p>
            <w:pPr>
              <w:pStyle w:val="Compact"/>
              <w:jc w:val="left"/>
            </w:pPr>
            <w:r>
              <w:t xml:space="preserve">Actuals</w:t>
            </w:r>
          </w:p>
        </w:tc>
        <w:tc>
          <w:tcPr/>
          <w:p>
            <w:pPr>
              <w:pStyle w:val="Compact"/>
              <w:jc w:val="righ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£20,835.00</w:t>
            </w:r>
          </w:p>
        </w:tc>
      </w:tr>
      <w:tr>
        <w:tc>
          <w:tcPr/>
          <w:p>
            <w:pPr>
              <w:pStyle w:val="Compact"/>
              <w:jc w:val="left"/>
            </w:pPr>
            <w:r>
              <w:t xml:space="preserve">VAT @ 20% (United Kingdom Standard Rate)</w:t>
            </w:r>
          </w:p>
        </w:tc>
        <w:tc>
          <w:tcPr/>
          <w:p>
            <w:pPr>
              <w:pStyle w:val="Compact"/>
              <w:jc w:val="right"/>
            </w:pPr>
            <w:r>
              <w:t xml:space="preserve">£4,167.00</w:t>
            </w:r>
          </w:p>
        </w:tc>
      </w:tr>
      <w:tr>
        <w:tc>
          <w:tcPr/>
          <w:p>
            <w:pPr>
              <w:pStyle w:val="Compact"/>
              <w:jc w:val="left"/>
            </w:pPr>
            <w:r>
              <w:rPr>
                <w:bCs/>
                <w:b/>
              </w:rPr>
              <w:t xml:space="preserve">Total Amount Due (GBP)</w:t>
            </w:r>
          </w:p>
        </w:tc>
        <w:tc>
          <w:tcPr/>
          <w:p>
            <w:pPr>
              <w:pStyle w:val="Compact"/>
              <w:jc w:val="right"/>
            </w:pPr>
            <w:r>
              <w:rPr>
                <w:bCs/>
                <w:b/>
              </w:rPr>
              <w:t xml:space="preserve">£25,002.00</w:t>
            </w:r>
          </w:p>
        </w:tc>
      </w:tr>
    </w:tbl>
    <w:bookmarkStart w:id="24" w:name="payment-terms-notes"/>
    <w:p>
      <w:pPr>
        <w:pStyle w:val="Heading4"/>
      </w:pPr>
      <w:r>
        <w:t xml:space="preserve">Payment Terms &amp; Notes</w:t>
      </w:r>
    </w:p>
    <w:p>
      <w:pPr>
        <w:pStyle w:val="FirstParagraph"/>
      </w:pPr>
      <w:r>
        <w:rPr>
          <w:bCs/>
          <w:b/>
        </w:rPr>
        <w:t xml:space="preserve">Payment Method:</w:t>
      </w:r>
      <w:r>
        <w:t xml:space="preserve"> </w:t>
      </w:r>
      <w:r>
        <w:t xml:space="preserve">Bank Transfer (BACS) to Whitfield Statistical Analytics Ltd., Barclays Bank, Sort Code: 20-15-88, Account No: 55443322. Please reference Invoice No. INV-2025-LDN-0047 in all correspondence.</w:t>
      </w:r>
    </w:p>
    <w:p>
      <w:pPr>
        <w:pStyle w:val="BodyText"/>
      </w:pPr>
      <w:r>
        <w:rPr>
          <w:bCs/>
          <w:b/>
        </w:rPr>
        <w:t xml:space="preserve">Payment Due:</w:t>
      </w:r>
      <w:r>
        <w:t xml:space="preserve"> </w:t>
      </w:r>
      <w:r>
        <w:t xml:space="preserve">This Invoice is payable within thirty (30) calendar days of the date of issue, in accordance with the Late Payment of Commercial Debts (Interest) Act 1998 applicable in the United Kingdom. Late payments may accrue interest at the rate of 4% above the Bank of England base rate.</w:t>
      </w:r>
    </w:p>
    <w:p>
      <w:pPr>
        <w:pStyle w:val="BodyText"/>
      </w:pPr>
      <w:r>
        <w:rPr>
          <w:bCs/>
          <w:b/>
        </w:rPr>
        <w:t xml:space="preserve">Scope of Work:</w:t>
      </w:r>
      <w:r>
        <w:t xml:space="preserve"> </w:t>
      </w:r>
      <w:r>
        <w:t xml:space="preserve">All statistical analyses, modelling, and reporting described in this Invoice were performed by Dr. Eleanor Whitfield in her capacity as a qualified Statistician holding Fellowship of the Royal Statistical Society (FStat) and a valid UK Data Protection Officer certification. All work was conducted in full compliance with the UK General Data Protection Regulation (UK GDPR) and the Data Protection Act 2018.</w:t>
      </w:r>
    </w:p>
    <w:p>
      <w:pPr>
        <w:pStyle w:val="BodyText"/>
      </w:pPr>
      <w:r>
        <w:rPr>
          <w:bCs/>
          <w:b/>
        </w:rPr>
        <w:t xml:space="preserve">Confidentiality:</w:t>
      </w:r>
      <w:r>
        <w:t xml:space="preserve"> </w:t>
      </w:r>
      <w:r>
        <w:t xml:space="preserve">The client acknowledges that all data, methodologies, and findings referenced in this Invoice are subject to the Non-Disclosure Agreement (NDA) dated 1 February 2025, executed between the parties in London, United Kingdom. The Statistician shall retain no copies of raw patient data beyond the completion of the engagement.</w:t>
      </w:r>
    </w:p>
    <w:p>
      <w:pPr>
        <w:pStyle w:val="BodyText"/>
      </w:pPr>
      <w:r>
        <w:rPr>
          <w:bCs/>
          <w:b/>
        </w:rPr>
        <w:t xml:space="preserve">Dispute Resolution:</w:t>
      </w:r>
      <w:r>
        <w:t xml:space="preserve"> </w:t>
      </w:r>
      <w:r>
        <w:t xml:space="preserve">Any disputes arising from this Invoice shall be resolved through mediation in London, United Kingdom, in accordance with the rules of the London Court of International Arbitration (LCIA). This Invoice is governed by the laws of England and Wales.</w:t>
      </w:r>
    </w:p>
    <w:p>
      <w:pPr>
        <w:pStyle w:val="BodyText"/>
      </w:pPr>
      <w:r>
        <w:rPr>
          <w:bCs/>
          <w:b/>
        </w:rPr>
        <w:t xml:space="preserve">Thank You:</w:t>
      </w:r>
      <w:r>
        <w:t xml:space="preserve"> </w:t>
      </w:r>
      <w:r>
        <w:t xml:space="preserve">Whitfield Statistical Analytics Ltd. appreciates the opportunity to serve Meridian Health Research Group. We look forward to continuing our professional relationship and providing further statistical expertise from our offices in United Kingdom London.</w:t>
      </w:r>
    </w:p>
    <w:bookmarkEnd w:id="24"/>
    <w:p>
      <w:pPr>
        <w:pStyle w:val="BodyText"/>
      </w:pPr>
      <w:r>
        <w:t xml:space="preserve">This Invoice was generated electronically and is valid without a physical signature. Whitfield Statistical Analytics Ltd. is registered in England and Wales, Company No. 09876543, registered office at 12 Regent Street, London W1B 5AD, United Kingdom.</w:t>
      </w:r>
      <w:r>
        <w:br/>
      </w:r>
      <w:r>
        <w:t xml:space="preserve">VAT Registration Number: GB 123 4567 89 | Statistician Registration: RSS Member No. 45219 | ICO Registration: ZB4521987</w:t>
      </w:r>
      <w:r>
        <w:br/>
      </w:r>
      <w:r>
        <w:t xml:space="preserve">© 2025 Whitfield Statistical Analytics Ltd. All rights reserved. | Invoice INV-2025-LDN-0047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Kingdom London</dc:title>
  <dc:creator/>
  <dc:language>en-GB</dc:language>
  <cp:keywords/>
  <dcterms:created xsi:type="dcterms:W3CDTF">2026-10-10T04:43:42Z</dcterms:created>
  <dcterms:modified xsi:type="dcterms:W3CDTF">2026-10-10T04:43:42Z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