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invoice"/>
    <w:p>
      <w:pPr>
        <w:pStyle w:val="Heading1"/>
      </w:pPr>
      <w:r>
        <w:t xml:space="preserve">INVOICE</w:t>
      </w:r>
    </w:p>
    <w:p>
      <w:pPr>
        <w:pStyle w:val="FirstParagraph"/>
      </w:pPr>
      <w:r>
        <w:t xml:space="preserve">Professional Statistical Consulting &amp; Analytical Services</w:t>
      </w:r>
    </w:p>
    <w:p>
      <w:pPr>
        <w:pStyle w:val="BodyText"/>
      </w:pPr>
      <w:r>
        <w:t xml:space="preserve">United States Chicago, Illinois 60601</w:t>
      </w:r>
    </w:p>
    <w:p>
      <w:pPr>
        <w:pStyle w:val="BodyText"/>
      </w:pPr>
      <w:r>
        <w:t xml:space="preserve">INVOICE NO. US-CHI-2025-04871</w:t>
      </w:r>
    </w:p>
    <w:bookmarkEnd w:id="20"/>
    <w:bookmarkStart w:id="21" w:name="from-service-provider"/>
    <w:p>
      <w:pPr>
        <w:pStyle w:val="Heading3"/>
      </w:pPr>
      <w:r>
        <w:t xml:space="preserve">From (Service Provider)</w:t>
      </w:r>
    </w:p>
    <w:p>
      <w:pPr>
        <w:pStyle w:val="FirstParagraph"/>
      </w:pPr>
      <w:r>
        <w:rPr>
          <w:bCs/>
          <w:b/>
        </w:rPr>
        <w:t xml:space="preserve">Dr. Margaret L. Whitfield, Ph.D., Statistician</w:t>
      </w:r>
    </w:p>
    <w:p>
      <w:pPr>
        <w:pStyle w:val="BodyText"/>
      </w:pPr>
      <w:r>
        <w:t xml:space="preserve">Whitfield Statistical Consulting Group</w:t>
      </w:r>
    </w:p>
    <w:p>
      <w:pPr>
        <w:pStyle w:val="BodyText"/>
      </w:pPr>
      <w:r>
        <w:t xml:space="preserve">1418 N. Dearborn Street, Suite 720</w:t>
      </w:r>
    </w:p>
    <w:p>
      <w:pPr>
        <w:pStyle w:val="BodyText"/>
      </w:pPr>
      <w:r>
        <w:t xml:space="preserve">United States Chicago, Illinois 60610</w:t>
      </w:r>
    </w:p>
    <w:p>
      <w:pPr>
        <w:pStyle w:val="BodyText"/>
      </w:pPr>
      <w:r>
        <w:t xml:space="preserve">Tel: (312) 555-0194</w:t>
      </w:r>
    </w:p>
    <w:p>
      <w:pPr>
        <w:pStyle w:val="BodyText"/>
      </w:pPr>
      <w:r>
        <w:t xml:space="preserve">Email: m.whitfield@whitfieldstats.com</w:t>
      </w:r>
    </w:p>
    <w:p>
      <w:pPr>
        <w:pStyle w:val="BodyText"/>
      </w:pPr>
      <w:r>
        <w:t xml:space="preserve">EIN: 36-8842107</w:t>
      </w:r>
    </w:p>
    <w:bookmarkEnd w:id="21"/>
    <w:bookmarkStart w:id="22" w:name="bill-to-client"/>
    <w:p>
      <w:pPr>
        <w:pStyle w:val="Heading3"/>
      </w:pPr>
      <w:r>
        <w:t xml:space="preserve">Bill To (Client)</w:t>
      </w:r>
    </w:p>
    <w:p>
      <w:pPr>
        <w:pStyle w:val="FirstParagraph"/>
      </w:pPr>
      <w:r>
        <w:rPr>
          <w:bCs/>
          <w:b/>
        </w:rPr>
        <w:t xml:space="preserve">Northwind Manufacturing Corporation</w:t>
      </w:r>
    </w:p>
    <w:p>
      <w:pPr>
        <w:pStyle w:val="BodyText"/>
      </w:pPr>
      <w:r>
        <w:t xml:space="preserve">Attn: Mr. David R. Kowalski, VP of Operations</w:t>
      </w:r>
    </w:p>
    <w:p>
      <w:pPr>
        <w:pStyle w:val="BodyText"/>
      </w:pPr>
      <w:r>
        <w:t xml:space="preserve">2200 W. Fulton Market</w:t>
      </w:r>
    </w:p>
    <w:p>
      <w:pPr>
        <w:pStyle w:val="BodyText"/>
      </w:pPr>
      <w:r>
        <w:t xml:space="preserve">United States Chicago, Illinois 60612</w:t>
      </w:r>
    </w:p>
    <w:p>
      <w:pPr>
        <w:pStyle w:val="BodyText"/>
      </w:pPr>
      <w:r>
        <w:t xml:space="preserve">Tel: (312) 555-0347</w:t>
      </w:r>
    </w:p>
    <w:p>
      <w:pPr>
        <w:pStyle w:val="BodyText"/>
      </w:pPr>
      <w:r>
        <w:t xml:space="preserve">Email: d.kowalski@northwindmfg.com</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 (Net 30)</w:t>
      </w:r>
    </w:p>
    <w:p>
      <w:pPr>
        <w:pStyle w:val="BodyText"/>
      </w:pPr>
      <w:r>
        <w:rPr>
          <w:bCs/>
          <w:b/>
        </w:rPr>
        <w:t xml:space="preserve">Service Period:</w:t>
      </w:r>
      <w:r>
        <w:t xml:space="preserve"> </w:t>
      </w:r>
      <w:r>
        <w:t xml:space="preserve">April 1 – May 31, 2025</w:t>
      </w:r>
    </w:p>
    <w:p>
      <w:pPr>
        <w:pStyle w:val="BodyText"/>
      </w:pPr>
      <w:r>
        <w:rPr>
          <w:bCs/>
          <w:b/>
        </w:rPr>
        <w:t xml:space="preserve">Project Reference:</w:t>
      </w:r>
      <w:r>
        <w:t xml:space="preserve"> </w:t>
      </w:r>
      <w:r>
        <w:t xml:space="preserve">NWC-QC-2025-Phase II</w:t>
      </w:r>
    </w:p>
    <w:bookmarkEnd w:id="23"/>
    <w:bookmarkStart w:id="24" w:name="payment-method"/>
    <w:p>
      <w:pPr>
        <w:pStyle w:val="Heading3"/>
      </w:pPr>
      <w:r>
        <w:t xml:space="preserve">Payment Method</w:t>
      </w:r>
    </w:p>
    <w:p>
      <w:pPr>
        <w:pStyle w:val="FirstParagraph"/>
      </w:pPr>
      <w:r>
        <w:rPr>
          <w:bCs/>
          <w:b/>
        </w:rPr>
        <w:t xml:space="preserve">Bank:</w:t>
      </w:r>
      <w:r>
        <w:t xml:space="preserve"> </w:t>
      </w:r>
      <w:r>
        <w:t xml:space="preserve">First Midwest Bank</w:t>
      </w:r>
    </w:p>
    <w:p>
      <w:pPr>
        <w:pStyle w:val="BodyText"/>
      </w:pPr>
      <w:r>
        <w:rPr>
          <w:bCs/>
          <w:b/>
        </w:rPr>
        <w:t xml:space="preserve">Account Name:</w:t>
      </w:r>
      <w:r>
        <w:t xml:space="preserve"> </w:t>
      </w:r>
      <w:r>
        <w:t xml:space="preserve">Whitfield Statistical Consulting</w:t>
      </w:r>
    </w:p>
    <w:p>
      <w:pPr>
        <w:pStyle w:val="BodyText"/>
      </w:pPr>
      <w:r>
        <w:rPr>
          <w:bCs/>
          <w:b/>
        </w:rPr>
        <w:t xml:space="preserve">Routing No.:</w:t>
      </w:r>
      <w:r>
        <w:t xml:space="preserve"> </w:t>
      </w:r>
      <w:r>
        <w:t xml:space="preserve">073000288</w:t>
      </w:r>
    </w:p>
    <w:p>
      <w:pPr>
        <w:pStyle w:val="BodyText"/>
      </w:pPr>
      <w:r>
        <w:rPr>
          <w:bCs/>
          <w:b/>
        </w:rPr>
        <w:t xml:space="preserve">Account No.:</w:t>
      </w:r>
      <w:r>
        <w:t xml:space="preserve"> </w:t>
      </w:r>
      <w:r>
        <w:t xml:space="preserve">****-****-4821</w:t>
      </w:r>
    </w:p>
    <w:p>
      <w:pPr>
        <w:pStyle w:val="BodyText"/>
      </w:pPr>
      <w:r>
        <w:rPr>
          <w:bCs/>
          <w:b/>
        </w:rPr>
        <w:t xml:space="preserve">Payment Terms:</w:t>
      </w:r>
      <w:r>
        <w:t xml:space="preserve"> </w:t>
      </w:r>
      <w:r>
        <w:t xml:space="preserve">Net 30, ACH or Check</w:t>
      </w:r>
    </w:p>
    <w:bookmarkEnd w:id="24"/>
    <w:bookmarkStart w:id="26" w:name="X02b277bd42330168e31b076c31c88fed5d148e4"/>
    <w:p>
      <w:pPr>
        <w:pStyle w:val="Heading2"/>
      </w:pPr>
      <w:r>
        <w:t xml:space="preserve">Description of Statistical Services Rendered</w:t>
      </w:r>
    </w:p>
    <w:p>
      <w:pPr>
        <w:pStyle w:val="FirstParagraph"/>
      </w:pPr>
      <w:r>
        <w:t xml:space="preserve">The following Invoice documents the professional services provided by Dr. Margaret L. Whitfield, a licensed Statistician operating in United States Chicago, to Northwind Manufacturing Corporation for the period specified above. All statistical analyses, modeling, and reporting were conducted in accordance with the American Statistical Association (ASA) ethical guidelines and applicable Illinois state regulations governing professional consulting services in the United States Chicago metropolitan area.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c>
          <w:tcPr/>
          <w:p>
            <w:pPr>
              <w:pStyle w:val="Compact"/>
              <w:jc w:val="left"/>
            </w:pPr>
            <w:r>
              <w:t xml:space="preserve">Date Performed</w:t>
            </w:r>
          </w:p>
        </w:tc>
      </w:tr>
      <w:tr>
        <w:tc>
          <w:tcPr/>
          <w:p>
            <w:pPr>
              <w:pStyle w:val="Compact"/>
              <w:jc w:val="left"/>
            </w:pPr>
            <w:r>
              <w:t xml:space="preserve">1</w:t>
            </w:r>
          </w:p>
        </w:tc>
        <w:tc>
          <w:tcPr/>
          <w:p>
            <w:pPr>
              <w:pStyle w:val="Compact"/>
              <w:jc w:val="left"/>
            </w:pPr>
            <w:r>
              <w:rPr>
                <w:bCs/>
                <w:b/>
              </w:rPr>
              <w:t xml:space="preserve">Quality Control Statistical Process Control (SPC) Audit</w:t>
            </w:r>
            <w:r>
              <w:t xml:space="preserve"> </w:t>
            </w:r>
            <w:r>
              <w:t xml:space="preserve">– Comprehensive review of production line variance data, including construction of control charts, calculation of process capability indices (Cp, Cpk), and identification of special-cause variation across three United States Chicago manufacturing facilities.</w:t>
            </w:r>
          </w:p>
        </w:tc>
        <w:tc>
          <w:tcPr/>
          <w:p>
            <w:pPr>
              <w:pStyle w:val="Compact"/>
              <w:jc w:val="left"/>
            </w:pPr>
            <w:r>
              <w:t xml:space="preserve">32.0</w:t>
            </w:r>
          </w:p>
        </w:tc>
        <w:tc>
          <w:tcPr/>
          <w:p>
            <w:pPr>
              <w:pStyle w:val="Compact"/>
              <w:jc w:val="left"/>
            </w:pPr>
            <w:r>
              <w:t xml:space="preserve">$185.00</w:t>
            </w:r>
          </w:p>
        </w:tc>
        <w:tc>
          <w:tcPr/>
          <w:p>
            <w:pPr>
              <w:pStyle w:val="Compact"/>
              <w:jc w:val="left"/>
            </w:pPr>
            <w:r>
              <w:t xml:space="preserve">$5,920.00</w:t>
            </w:r>
          </w:p>
        </w:tc>
        <w:tc>
          <w:tcPr/>
          <w:p>
            <w:pPr>
              <w:pStyle w:val="Compact"/>
              <w:jc w:val="left"/>
            </w:pPr>
            <w:r>
              <w:t xml:space="preserve">Apr 3 – Apr 18, 2025</w:t>
            </w:r>
          </w:p>
        </w:tc>
      </w:tr>
      <w:tr>
        <w:tc>
          <w:tcPr/>
          <w:p>
            <w:pPr>
              <w:pStyle w:val="Compact"/>
              <w:jc w:val="left"/>
            </w:pPr>
            <w:r>
              <w:t xml:space="preserve">2</w:t>
            </w:r>
          </w:p>
        </w:tc>
        <w:tc>
          <w:tcPr/>
          <w:p>
            <w:pPr>
              <w:pStyle w:val="Compact"/>
              <w:jc w:val="left"/>
            </w:pPr>
            <w:r>
              <w:rPr>
                <w:bCs/>
                <w:b/>
              </w:rPr>
              <w:t xml:space="preserve">Regression Modeling &amp; Predictive Analytics</w:t>
            </w:r>
            <w:r>
              <w:t xml:space="preserve"> </w:t>
            </w:r>
            <w:r>
              <w:t xml:space="preserve">– Development and validation of multiple linear regression models to forecast quarterly raw material demand. The Statistician performed multicollinearity diagnostics, residual analysis, and cross-validation to ensure model robustness for operational planning.</w:t>
            </w:r>
          </w:p>
        </w:tc>
        <w:tc>
          <w:tcPr/>
          <w:p>
            <w:pPr>
              <w:pStyle w:val="Compact"/>
              <w:jc w:val="left"/>
            </w:pPr>
            <w:r>
              <w:t xml:space="preserve">28.5</w:t>
            </w:r>
          </w:p>
        </w:tc>
        <w:tc>
          <w:tcPr/>
          <w:p>
            <w:pPr>
              <w:pStyle w:val="Compact"/>
              <w:jc w:val="left"/>
            </w:pPr>
            <w:r>
              <w:t xml:space="preserve">$185.00</w:t>
            </w:r>
          </w:p>
        </w:tc>
        <w:tc>
          <w:tcPr/>
          <w:p>
            <w:pPr>
              <w:pStyle w:val="Compact"/>
              <w:jc w:val="left"/>
            </w:pPr>
            <w:r>
              <w:t xml:space="preserve">$5,272.50</w:t>
            </w:r>
          </w:p>
        </w:tc>
        <w:tc>
          <w:tcPr/>
          <w:p>
            <w:pPr>
              <w:pStyle w:val="Compact"/>
              <w:jc w:val="left"/>
            </w:pPr>
            <w:r>
              <w:t xml:space="preserve">Apr 21 – May 5, 2025</w:t>
            </w:r>
          </w:p>
        </w:tc>
      </w:tr>
      <w:tr>
        <w:tc>
          <w:tcPr/>
          <w:p>
            <w:pPr>
              <w:pStyle w:val="Compact"/>
              <w:jc w:val="left"/>
            </w:pPr>
            <w:r>
              <w:t xml:space="preserve">3</w:t>
            </w:r>
          </w:p>
        </w:tc>
        <w:tc>
          <w:tcPr/>
          <w:p>
            <w:pPr>
              <w:pStyle w:val="Compact"/>
              <w:jc w:val="left"/>
            </w:pPr>
            <w:r>
              <w:rPr>
                <w:bCs/>
                <w:b/>
              </w:rPr>
              <w:t xml:space="preserve">Design of Experiments (DOE) for Process Optimization</w:t>
            </w:r>
            <w:r>
              <w:t xml:space="preserve"> </w:t>
            </w:r>
            <w:r>
              <w:t xml:space="preserve">– Planning and statistical analysis of a fractional factorial experiment (2^5-1 design) to optimize thermal treatment parameters. The Statistician conducted ANOVA, interaction effect testing, and recommended optimal factor settings.</w:t>
            </w:r>
          </w:p>
        </w:tc>
        <w:tc>
          <w:tcPr/>
          <w:p>
            <w:pPr>
              <w:pStyle w:val="Compact"/>
              <w:jc w:val="left"/>
            </w:pPr>
            <w:r>
              <w:t xml:space="preserve">24.0</w:t>
            </w:r>
          </w:p>
        </w:tc>
        <w:tc>
          <w:tcPr/>
          <w:p>
            <w:pPr>
              <w:pStyle w:val="Compact"/>
              <w:jc w:val="left"/>
            </w:pPr>
            <w:r>
              <w:t xml:space="preserve">$185.00</w:t>
            </w:r>
          </w:p>
        </w:tc>
        <w:tc>
          <w:tcPr/>
          <w:p>
            <w:pPr>
              <w:pStyle w:val="Compact"/>
              <w:jc w:val="left"/>
            </w:pPr>
            <w:r>
              <w:t xml:space="preserve">$4,440.00</w:t>
            </w:r>
          </w:p>
        </w:tc>
        <w:tc>
          <w:tcPr/>
          <w:p>
            <w:pPr>
              <w:pStyle w:val="Compact"/>
              <w:jc w:val="left"/>
            </w:pPr>
            <w:r>
              <w:t xml:space="preserve">May 8 – May 19, 2025</w:t>
            </w:r>
          </w:p>
        </w:tc>
      </w:tr>
      <w:tr>
        <w:tc>
          <w:tcPr/>
          <w:p>
            <w:pPr>
              <w:pStyle w:val="Compact"/>
              <w:jc w:val="left"/>
            </w:pPr>
            <w:r>
              <w:t xml:space="preserve">4</w:t>
            </w:r>
          </w:p>
        </w:tc>
        <w:tc>
          <w:tcPr/>
          <w:p>
            <w:pPr>
              <w:pStyle w:val="Compact"/>
              <w:jc w:val="left"/>
            </w:pPr>
            <w:r>
              <w:rPr>
                <w:bCs/>
                <w:b/>
              </w:rPr>
              <w:t xml:space="preserve">Bayesian Reliability Analysis &amp; Failure Rate Estimation</w:t>
            </w:r>
            <w:r>
              <w:t xml:space="preserve"> </w:t>
            </w:r>
            <w:r>
              <w:t xml:space="preserve">– Application of Bayesian inference methods to equipment failure data for predictive maintenance scheduling. Included posterior distribution estimation, credible interval construction, and Monte Carlo simulation for risk quantification.</w:t>
            </w:r>
          </w:p>
        </w:tc>
        <w:tc>
          <w:tcPr/>
          <w:p>
            <w:pPr>
              <w:pStyle w:val="Compact"/>
              <w:jc w:val="left"/>
            </w:pPr>
            <w:r>
              <w:t xml:space="preserve">18.0</w:t>
            </w:r>
          </w:p>
        </w:tc>
        <w:tc>
          <w:tcPr/>
          <w:p>
            <w:pPr>
              <w:pStyle w:val="Compact"/>
              <w:jc w:val="left"/>
            </w:pPr>
            <w:r>
              <w:t xml:space="preserve">$185.00</w:t>
            </w:r>
          </w:p>
        </w:tc>
        <w:tc>
          <w:tcPr/>
          <w:p>
            <w:pPr>
              <w:pStyle w:val="Compact"/>
              <w:jc w:val="left"/>
            </w:pPr>
            <w:r>
              <w:t xml:space="preserve">$3,330.00</w:t>
            </w:r>
          </w:p>
        </w:tc>
        <w:tc>
          <w:tcPr/>
          <w:p>
            <w:pPr>
              <w:pStyle w:val="Compact"/>
              <w:jc w:val="left"/>
            </w:pPr>
            <w:r>
              <w:t xml:space="preserve">May 20 – May 28, 2025</w:t>
            </w:r>
          </w:p>
        </w:tc>
      </w:tr>
      <w:tr>
        <w:tc>
          <w:tcPr/>
          <w:p>
            <w:pPr>
              <w:pStyle w:val="Compact"/>
              <w:jc w:val="left"/>
            </w:pPr>
            <w:r>
              <w:t xml:space="preserve">5</w:t>
            </w:r>
          </w:p>
        </w:tc>
        <w:tc>
          <w:tcPr/>
          <w:p>
            <w:pPr>
              <w:pStyle w:val="Compact"/>
              <w:jc w:val="left"/>
            </w:pPr>
            <w:r>
              <w:rPr>
                <w:bCs/>
                <w:b/>
              </w:rPr>
              <w:t xml:space="preserve">Final Statistical Report &amp; Executive Presentation</w:t>
            </w:r>
            <w:r>
              <w:t xml:space="preserve"> </w:t>
            </w:r>
            <w:r>
              <w:t xml:space="preserve">– Preparation of a 45-page comprehensive statistical report summarizing all findings, along with a 90-minute executive briefing delivered at the client's United States Chicago headquarters. Includes data visualizations, confidence intervals, and actionable recommendations.</w:t>
            </w:r>
          </w:p>
        </w:tc>
        <w:tc>
          <w:tcPr/>
          <w:p>
            <w:pPr>
              <w:pStyle w:val="Compact"/>
              <w:jc w:val="left"/>
            </w:pPr>
            <w:r>
              <w:t xml:space="preserve">12.5</w:t>
            </w:r>
          </w:p>
        </w:tc>
        <w:tc>
          <w:tcPr/>
          <w:p>
            <w:pPr>
              <w:pStyle w:val="Compact"/>
              <w:jc w:val="left"/>
            </w:pPr>
            <w:r>
              <w:t xml:space="preserve">$185.00</w:t>
            </w:r>
          </w:p>
        </w:tc>
        <w:tc>
          <w:tcPr/>
          <w:p>
            <w:pPr>
              <w:pStyle w:val="Compact"/>
              <w:jc w:val="left"/>
            </w:pPr>
            <w:r>
              <w:t xml:space="preserve">$2,312.50</w:t>
            </w:r>
          </w:p>
        </w:tc>
        <w:tc>
          <w:tcPr/>
          <w:p>
            <w:pPr>
              <w:pStyle w:val="Compact"/>
              <w:jc w:val="left"/>
            </w:pPr>
            <w:r>
              <w:t xml:space="preserve">May 29 – May 31, 2025</w:t>
            </w:r>
          </w:p>
        </w:tc>
      </w:tr>
    </w:tbl>
    <w:tbl>
      <w:tblPr>
        <w:tblStyle w:val="Table"/>
        <w:tblW w:type="auto" w:w="0"/>
        <w:tblLook w:firstRow="1" w:lastRow="0" w:firstColumn="0" w:lastColumn="0" w:noHBand="0" w:noVBand="0" w:val="0020"/>
      </w:tblPr>
      <w:tblGrid>
        <w:gridCol w:w="3960"/>
        <w:gridCol w:w="3960"/>
      </w:tblGrid>
      <w:tr>
        <w:trPr>
          <w:tblHeader w:val="true"/>
        </w:trPr>
        <w:tc>
          <w:tcPr>
            <w:gridSpan w:val="2"/>
          </w:tcPr>
          <w:p>
            <w:pPr>
              <w:pStyle w:val="Compact"/>
              <w:jc w:val="left"/>
            </w:pPr>
            <w:r>
              <w:t xml:space="preserve">Invoice Totals Summary</w:t>
            </w:r>
          </w:p>
        </w:tc>
      </w:tr>
      <w:tr>
        <w:tc>
          <w:tcPr/>
          <w:p>
            <w:pPr>
              <w:pStyle w:val="Compact"/>
              <w:jc w:val="left"/>
            </w:pPr>
            <w:r>
              <w:t xml:space="preserve">Subtotal (Professional Services)</w:t>
            </w:r>
          </w:p>
        </w:tc>
        <w:tc>
          <w:tcPr/>
          <w:p>
            <w:pPr>
              <w:pStyle w:val="Compact"/>
              <w:jc w:val="right"/>
            </w:pPr>
            <w:r>
              <w:t xml:space="preserve">$21,275.00</w:t>
            </w:r>
          </w:p>
        </w:tc>
      </w:tr>
      <w:tr>
        <w:tc>
          <w:tcPr/>
          <w:p>
            <w:pPr>
              <w:pStyle w:val="Compact"/>
              <w:jc w:val="left"/>
            </w:pPr>
            <w:r>
              <w:t xml:space="preserve">Software &amp; Computational Licensing (R, SAS, Minitab)</w:t>
            </w:r>
          </w:p>
        </w:tc>
        <w:tc>
          <w:tcPr/>
          <w:p>
            <w:pPr>
              <w:pStyle w:val="Compact"/>
              <w:jc w:val="right"/>
            </w:pPr>
            <w:r>
              <w:t xml:space="preserve">$1,150.00</w:t>
            </w:r>
          </w:p>
        </w:tc>
      </w:tr>
      <w:tr>
        <w:tc>
          <w:tcPr/>
          <w:p>
            <w:pPr>
              <w:pStyle w:val="Compact"/>
              <w:jc w:val="left"/>
            </w:pPr>
            <w:r>
              <w:t xml:space="preserve">Travel &amp; On-Site Consultation (United States Chicago area)</w:t>
            </w:r>
          </w:p>
        </w:tc>
        <w:tc>
          <w:tcPr/>
          <w:p>
            <w:pPr>
              <w:pStyle w:val="Compact"/>
              <w:jc w:val="right"/>
            </w:pPr>
            <w:r>
              <w:t xml:space="preserve">$485.00</w:t>
            </w:r>
          </w:p>
        </w:tc>
      </w:tr>
      <w:tr>
        <w:tc>
          <w:tcPr/>
          <w:p>
            <w:pPr>
              <w:pStyle w:val="Compact"/>
              <w:jc w:val="left"/>
            </w:pPr>
            <w:r>
              <w:t xml:space="preserve">Subtotal Before Tax</w:t>
            </w:r>
          </w:p>
        </w:tc>
        <w:tc>
          <w:tcPr/>
          <w:p>
            <w:pPr>
              <w:pStyle w:val="Compact"/>
              <w:jc w:val="right"/>
            </w:pPr>
            <w:r>
              <w:t xml:space="preserve">$22,910.00</w:t>
            </w:r>
          </w:p>
        </w:tc>
      </w:tr>
      <w:tr>
        <w:tc>
          <w:tcPr/>
          <w:p>
            <w:pPr>
              <w:pStyle w:val="Compact"/>
              <w:jc w:val="left"/>
            </w:pPr>
            <w:r>
              <w:t xml:space="preserve">Illinois State Sales Tax (1.25%)</w:t>
            </w:r>
          </w:p>
        </w:tc>
        <w:tc>
          <w:tcPr/>
          <w:p>
            <w:pPr>
              <w:pStyle w:val="Compact"/>
              <w:jc w:val="right"/>
            </w:pPr>
            <w:r>
              <w:t xml:space="preserve">$286.38</w:t>
            </w:r>
          </w:p>
        </w:tc>
      </w:tr>
      <w:tr>
        <w:tc>
          <w:tcPr/>
          <w:p>
            <w:pPr>
              <w:pStyle w:val="Compact"/>
              <w:jc w:val="left"/>
            </w:pPr>
            <w:r>
              <w:t xml:space="preserve">Chicago Municipal Tax (2.5%)</w:t>
            </w:r>
          </w:p>
        </w:tc>
        <w:tc>
          <w:tcPr/>
          <w:p>
            <w:pPr>
              <w:pStyle w:val="Compact"/>
              <w:jc w:val="right"/>
            </w:pPr>
            <w:r>
              <w:t xml:space="preserve">$572.75</w:t>
            </w:r>
          </w:p>
        </w:tc>
      </w:tr>
      <w:tr>
        <w:tc>
          <w:tcPr/>
          <w:p>
            <w:pPr>
              <w:pStyle w:val="Compact"/>
              <w:jc w:val="left"/>
            </w:pPr>
            <w:r>
              <w:t xml:space="preserve">Combined Tax (3.75%)</w:t>
            </w:r>
          </w:p>
        </w:tc>
        <w:tc>
          <w:tcPr/>
          <w:p>
            <w:pPr>
              <w:pStyle w:val="Compact"/>
              <w:jc w:val="right"/>
            </w:pPr>
            <w:r>
              <w:t xml:space="preserve">$859.13</w:t>
            </w:r>
          </w:p>
        </w:tc>
      </w:tr>
      <w:tr>
        <w:tc>
          <w:tcPr/>
          <w:p>
            <w:pPr>
              <w:pStyle w:val="Compact"/>
              <w:jc w:val="left"/>
            </w:pPr>
            <w:r>
              <w:t xml:space="preserve">GRAND TOTAL DUE</w:t>
            </w:r>
          </w:p>
        </w:tc>
        <w:tc>
          <w:tcPr/>
          <w:p>
            <w:pPr>
              <w:pStyle w:val="Compact"/>
              <w:jc w:val="right"/>
            </w:pPr>
            <w:r>
              <w:t xml:space="preserve">$23,769.13</w:t>
            </w:r>
          </w:p>
        </w:tc>
      </w:tr>
    </w:tbl>
    <w:bookmarkStart w:id="25" w:name="invoice-notes-terms-of-service"/>
    <w:p>
      <w:pPr>
        <w:pStyle w:val="Heading3"/>
      </w:pPr>
      <w:r>
        <w:t xml:space="preserve">Invoice Notes &amp; Terms of Service</w:t>
      </w:r>
    </w:p>
    <w:p>
      <w:pPr>
        <w:pStyle w:val="FirstParagraph"/>
      </w:pPr>
      <w:r>
        <w:t xml:space="preserve">1. This Invoice is issued by a licensed Statistician operating under Illinois Professional Service License No. IL-STAT-2019-004471, registered with the Illinois Department of Financial and Professional Regulation. All services were performed within the jurisdiction of United States Chicago, Cook County, Illinois.</w:t>
      </w:r>
    </w:p>
    <w:p>
      <w:pPr>
        <w:pStyle w:val="BodyText"/>
      </w:pPr>
      <w:r>
        <w:t xml:space="preserve">2. Payment is due within thirty (30) calendar days from the Invoice date of June 12, 2025. Late payments shall accrue interest at a rate of 1.5% per month as permitted under Illinois commercial code 810 ILCS 5/11-401.</w:t>
      </w:r>
    </w:p>
    <w:p>
      <w:pPr>
        <w:pStyle w:val="BodyText"/>
      </w:pPr>
      <w:r>
        <w:t xml:space="preserve">3. All statistical methodologies, datasets, and analytical outputs referenced in this Invoice remain the intellectual property of Whitfield Statistical Consulting Group unless otherwise specified in the master service agreement dated March 1, 2025. The client retains the right to use final reports for internal operational purposes within United States Chicago and its affiliated facilities.</w:t>
      </w:r>
    </w:p>
    <w:p>
      <w:pPr>
        <w:pStyle w:val="BodyText"/>
      </w:pPr>
      <w:r>
        <w:t xml:space="preserve">4. The Statistician warrants that all analyses were conducted with professional diligence, using peer-reviewed statistical methods, and that all reported confidence intervals, p-values, and effect sizes are accurate to the precision stated in the accompanying deliverables.</w:t>
      </w:r>
    </w:p>
    <w:p>
      <w:pPr>
        <w:pStyle w:val="BodyText"/>
      </w:pPr>
      <w:r>
        <w:t xml:space="preserve">5. Please reference Invoice Number US-CHI-2025-04871 on all correspondence and remittances. For questions regarding this Invoice, contact the undersigned Statistician at the address listed above or via email at m.whitfield@whitfieldstats.com.</w:t>
      </w:r>
    </w:p>
    <w:p>
      <w:pPr>
        <w:pStyle w:val="BodyText"/>
      </w:pPr>
      <w:r>
        <w:t xml:space="preserve">6. This Invoice complies with the Uniform Commercial Code (UCC) as adopted in the State of Illinois and all applicable federal tax reporting requirements of the Internal Revenue Service (IRS).</w:t>
      </w:r>
    </w:p>
    <w:bookmarkEnd w:id="25"/>
    <w:p>
      <w:pPr>
        <w:pStyle w:val="BodyText"/>
      </w:pPr>
      <w:r>
        <w:rPr>
          <w:bCs/>
          <w:b/>
        </w:rPr>
        <w:t xml:space="preserve">Whitfield Statistical Consulting Group</w:t>
      </w:r>
      <w:r>
        <w:t xml:space="preserve"> </w:t>
      </w:r>
      <w:r>
        <w:t xml:space="preserve">| 1418 N. Dearborn Street, Suite 720, United States Chicago, IL 60610</w:t>
      </w:r>
    </w:p>
    <w:p>
      <w:pPr>
        <w:pStyle w:val="BodyText"/>
      </w:pPr>
      <w:r>
        <w:t xml:space="preserve">Illinois Professional Service License: IL-STAT-2019-004471 | EIN: 36-8842107 | Member, American Statistical Association (ASA)</w:t>
      </w:r>
    </w:p>
    <w:p>
      <w:pPr>
        <w:pStyle w:val="BodyText"/>
      </w:pPr>
      <w:r>
        <w:t xml:space="preserve">This Invoice was generated electronically and is valid without a physical signature. For authentication, contact the issuing Statistician directly.</w:t>
      </w:r>
    </w:p>
    <w:p>
      <w:pPr>
        <w:pStyle w:val="BodyText"/>
      </w:pPr>
      <w:r>
        <w:t xml:space="preserve">Thank you for your business. We appreciate the opportunity to serve your organization with expert statistical analysis in United States Chicago.</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United States Chicago</dc:title>
  <dc:creator/>
  <dc:language>en</dc:language>
  <cp:keywords/>
  <dcterms:created xsi:type="dcterms:W3CDTF">2026-10-10T07:24:38Z</dcterms:created>
  <dcterms:modified xsi:type="dcterms:W3CDTF">2026-10-10T07:24:38Z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