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Statistical Consulting Services</w:t>
      </w:r>
    </w:p>
    <w:p>
      <w:pPr>
        <w:pStyle w:val="BodyText"/>
      </w:pPr>
      <w:r>
        <w:t xml:space="preserve">United States Los Angeles</w:t>
      </w:r>
    </w:p>
    <w:bookmarkEnd w:id="20"/>
    <w:p>
      <w:pPr>
        <w:pStyle w:val="BodyText"/>
      </w:pPr>
      <w:r>
        <w:rPr>
          <w:bCs/>
          <w:b/>
        </w:rPr>
        <w:t xml:space="preserve">Invoice Number:</w:t>
      </w:r>
      <w:r>
        <w:t xml:space="preserve"> </w:t>
      </w:r>
      <w:r>
        <w:t xml:space="preserve">INV-2025-LA-04872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w:t>
      </w:r>
    </w:p>
    <w:bookmarkStart w:id="21" w:name="from-service-provider"/>
    <w:p>
      <w:pPr>
        <w:pStyle w:val="Heading3"/>
      </w:pPr>
      <w:r>
        <w:t xml:space="preserve">From (Service Provider)</w:t>
      </w:r>
    </w:p>
    <w:p>
      <w:pPr>
        <w:pStyle w:val="FirstParagraph"/>
      </w:pPr>
      <w:r>
        <w:rPr>
          <w:bCs/>
          <w:b/>
        </w:rPr>
        <w:t xml:space="preserve">Dr. Eleanor M. Whitfield, Ph.D., CStat</w:t>
      </w:r>
    </w:p>
    <w:p>
      <w:pPr>
        <w:pStyle w:val="BodyText"/>
      </w:pPr>
      <w:r>
        <w:t xml:space="preserve">Lead Statistician &amp; Principal Consultant</w:t>
      </w:r>
    </w:p>
    <w:p>
      <w:pPr>
        <w:pStyle w:val="BodyText"/>
      </w:pPr>
      <w:r>
        <w:t xml:space="preserve">Whitfield Statistical Analytics Group</w:t>
      </w:r>
    </w:p>
    <w:p>
      <w:pPr>
        <w:pStyle w:val="BodyText"/>
      </w:pPr>
      <w:r>
        <w:t xml:space="preserve">4500 Wilshire Boulevard, Suite 1200</w:t>
      </w:r>
    </w:p>
    <w:p>
      <w:pPr>
        <w:pStyle w:val="BodyText"/>
      </w:pPr>
      <w:r>
        <w:t xml:space="preserve">Los Angeles, California 90010</w:t>
      </w:r>
    </w:p>
    <w:p>
      <w:pPr>
        <w:pStyle w:val="BodyText"/>
      </w:pPr>
      <w:r>
        <w:t xml:space="preserve">United States of America</w:t>
      </w:r>
    </w:p>
    <w:p>
      <w:pPr>
        <w:pStyle w:val="BodyText"/>
      </w:pPr>
      <w:r>
        <w:t xml:space="preserve">Tel: (213) 555-0187</w:t>
      </w:r>
    </w:p>
    <w:p>
      <w:pPr>
        <w:pStyle w:val="BodyText"/>
      </w:pPr>
      <w:r>
        <w:t xml:space="preserve">Email: e.whitfield@wsagroup-la.com</w:t>
      </w:r>
    </w:p>
    <w:p>
      <w:pPr>
        <w:pStyle w:val="BodyText"/>
      </w:pPr>
      <w:r>
        <w:t xml:space="preserve">CA Business License: #CA-2019-884521</w:t>
      </w:r>
    </w:p>
    <w:bookmarkEnd w:id="21"/>
    <w:bookmarkStart w:id="22" w:name="bill-to-client"/>
    <w:p>
      <w:pPr>
        <w:pStyle w:val="Heading3"/>
      </w:pPr>
      <w:r>
        <w:t xml:space="preserve">Bill To (Client)</w:t>
      </w:r>
    </w:p>
    <w:p>
      <w:pPr>
        <w:pStyle w:val="FirstParagraph"/>
      </w:pPr>
      <w:r>
        <w:rPr>
          <w:bCs/>
          <w:b/>
        </w:rPr>
        <w:t xml:space="preserve">Pacific Crest Biomedical Research Corp.</w:t>
      </w:r>
    </w:p>
    <w:p>
      <w:pPr>
        <w:pStyle w:val="BodyText"/>
      </w:pPr>
      <w:r>
        <w:t xml:space="preserve">Attn: Mr. David R. Chen, VP of Research Operations</w:t>
      </w:r>
    </w:p>
    <w:p>
      <w:pPr>
        <w:pStyle w:val="BodyText"/>
      </w:pPr>
      <w:r>
        <w:t xml:space="preserve">7001 Santa Monica Boulevard, Floor 8</w:t>
      </w:r>
    </w:p>
    <w:p>
      <w:pPr>
        <w:pStyle w:val="BodyText"/>
      </w:pPr>
      <w:r>
        <w:t xml:space="preserve">Los Angeles, California 90046</w:t>
      </w:r>
    </w:p>
    <w:p>
      <w:pPr>
        <w:pStyle w:val="BodyText"/>
      </w:pPr>
      <w:r>
        <w:t xml:space="preserve">United States of America</w:t>
      </w:r>
    </w:p>
    <w:p>
      <w:pPr>
        <w:pStyle w:val="BodyText"/>
      </w:pPr>
      <w:r>
        <w:t xml:space="preserve">Tel: (310) 555-0342</w:t>
      </w:r>
    </w:p>
    <w:p>
      <w:pPr>
        <w:pStyle w:val="BodyText"/>
      </w:pPr>
      <w:r>
        <w:t xml:space="preserve">Email: d.chen@pacificcrestbio.com</w:t>
      </w:r>
    </w:p>
    <w:p>
      <w:pPr>
        <w:pStyle w:val="BodyText"/>
      </w:pPr>
      <w:r>
        <w:t xml:space="preserve">Federal EIN: 84-2917365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c>
          <w:tcPr/>
          <w:p>
            <w:pPr>
              <w:pStyle w:val="Compact"/>
              <w:jc w:val="left"/>
            </w:pPr>
            <w:r>
              <w:t xml:space="preserve">Date Performed</w:t>
            </w:r>
          </w:p>
        </w:tc>
      </w:tr>
      <w:tr>
        <w:tc>
          <w:tcPr/>
          <w:p>
            <w:pPr>
              <w:pStyle w:val="Compact"/>
              <w:jc w:val="left"/>
            </w:pPr>
            <w:r>
              <w:t xml:space="preserve">1</w:t>
            </w:r>
          </w:p>
        </w:tc>
        <w:tc>
          <w:tcPr/>
          <w:p>
            <w:pPr>
              <w:pStyle w:val="Compact"/>
              <w:jc w:val="left"/>
            </w:pPr>
            <w:r>
              <w:rPr>
                <w:bCs/>
                <w:b/>
              </w:rPr>
              <w:t xml:space="preserve">Biostatistical Analysis for Phase II Clinical Trial</w:t>
            </w:r>
            <w:r>
              <w:t xml:space="preserve"> </w:t>
            </w:r>
            <w:r>
              <w:t xml:space="preserve">– The Statistician conducted a comprehensive power analysis, sample size determination, and interim analysis protocol design for the client's oncology drug trial. All computations were performed in accordance with FDA guidelines and ICH E9 statistical principles.</w:t>
            </w:r>
          </w:p>
        </w:tc>
        <w:tc>
          <w:tcPr/>
          <w:p>
            <w:pPr>
              <w:pStyle w:val="Compact"/>
              <w:jc w:val="left"/>
            </w:pPr>
            <w:r>
              <w:t xml:space="preserve">$285/hr</w:t>
            </w:r>
          </w:p>
        </w:tc>
        <w:tc>
          <w:tcPr/>
          <w:p>
            <w:pPr>
              <w:pStyle w:val="Compact"/>
              <w:jc w:val="left"/>
            </w:pPr>
            <w:r>
              <w:t xml:space="preserve">32</w:t>
            </w:r>
          </w:p>
        </w:tc>
        <w:tc>
          <w:tcPr/>
          <w:p>
            <w:pPr>
              <w:pStyle w:val="Compact"/>
              <w:jc w:val="left"/>
            </w:pPr>
            <w:r>
              <w:t xml:space="preserve">$9,120.00</w:t>
            </w:r>
          </w:p>
        </w:tc>
        <w:tc>
          <w:tcPr/>
          <w:p>
            <w:pPr>
              <w:pStyle w:val="Compact"/>
              <w:jc w:val="left"/>
            </w:pPr>
            <w:r>
              <w:t xml:space="preserve">May 5 – May 16, 2025</w:t>
            </w:r>
          </w:p>
        </w:tc>
      </w:tr>
      <w:tr>
        <w:tc>
          <w:tcPr/>
          <w:p>
            <w:pPr>
              <w:pStyle w:val="Compact"/>
              <w:jc w:val="left"/>
            </w:pPr>
            <w:r>
              <w:t xml:space="preserve">2</w:t>
            </w:r>
          </w:p>
        </w:tc>
        <w:tc>
          <w:tcPr/>
          <w:p>
            <w:pPr>
              <w:pStyle w:val="Compact"/>
              <w:jc w:val="left"/>
            </w:pPr>
            <w:r>
              <w:rPr>
                <w:bCs/>
                <w:b/>
              </w:rPr>
              <w:t xml:space="preserve">Bayesian Modeling &amp; Hierarchical Regression</w:t>
            </w:r>
            <w:r>
              <w:t xml:space="preserve"> </w:t>
            </w:r>
            <w:r>
              <w:t xml:space="preserve">– The Statistician developed and validated a multi-level Bayesian hierarchical model to account for site-level variability across twelve clinical trial locations in the United States. Model diagnostics, posterior predictive checks, and convergence assessments were delivered.</w:t>
            </w:r>
          </w:p>
        </w:tc>
        <w:tc>
          <w:tcPr/>
          <w:p>
            <w:pPr>
              <w:pStyle w:val="Compact"/>
              <w:jc w:val="left"/>
            </w:pPr>
            <w:r>
              <w:t xml:space="preserve">$285/hr</w:t>
            </w:r>
          </w:p>
        </w:tc>
        <w:tc>
          <w:tcPr/>
          <w:p>
            <w:pPr>
              <w:pStyle w:val="Compact"/>
              <w:jc w:val="left"/>
            </w:pPr>
            <w:r>
              <w:t xml:space="preserve">28</w:t>
            </w:r>
          </w:p>
        </w:tc>
        <w:tc>
          <w:tcPr/>
          <w:p>
            <w:pPr>
              <w:pStyle w:val="Compact"/>
              <w:jc w:val="left"/>
            </w:pPr>
            <w:r>
              <w:t xml:space="preserve">$7,980.00</w:t>
            </w:r>
          </w:p>
        </w:tc>
        <w:tc>
          <w:tcPr/>
          <w:p>
            <w:pPr>
              <w:pStyle w:val="Compact"/>
              <w:jc w:val="left"/>
            </w:pPr>
            <w:r>
              <w:t xml:space="preserve">May 19 – May 30, 2025</w:t>
            </w:r>
          </w:p>
        </w:tc>
      </w:tr>
      <w:tr>
        <w:tc>
          <w:tcPr/>
          <w:p>
            <w:pPr>
              <w:pStyle w:val="Compact"/>
              <w:jc w:val="left"/>
            </w:pPr>
            <w:r>
              <w:t xml:space="preserve">3</w:t>
            </w:r>
          </w:p>
        </w:tc>
        <w:tc>
          <w:tcPr/>
          <w:p>
            <w:pPr>
              <w:pStyle w:val="Compact"/>
              <w:jc w:val="left"/>
            </w:pPr>
            <w:r>
              <w:rPr>
                <w:bCs/>
                <w:b/>
              </w:rPr>
              <w:t xml:space="preserve">Survival Analysis &amp; Cox Proportional Hazards Modeling</w:t>
            </w:r>
            <w:r>
              <w:t xml:space="preserve"> </w:t>
            </w:r>
            <w:r>
              <w:t xml:space="preserve">– The Statistician performed Kaplan-Meier estimation, log-rank testing, and Cox regression with time-varying covariates for the primary endpoint of overall survival. Sensitivity analyses using competing risks frameworks were also completed.</w:t>
            </w:r>
          </w:p>
        </w:tc>
        <w:tc>
          <w:tcPr/>
          <w:p>
            <w:pPr>
              <w:pStyle w:val="Compact"/>
              <w:jc w:val="left"/>
            </w:pPr>
            <w:r>
              <w:t xml:space="preserve">$285/hr</w:t>
            </w:r>
          </w:p>
        </w:tc>
        <w:tc>
          <w:tcPr/>
          <w:p>
            <w:pPr>
              <w:pStyle w:val="Compact"/>
              <w:jc w:val="left"/>
            </w:pPr>
            <w:r>
              <w:t xml:space="preserve">24</w:t>
            </w:r>
          </w:p>
        </w:tc>
        <w:tc>
          <w:tcPr/>
          <w:p>
            <w:pPr>
              <w:pStyle w:val="Compact"/>
              <w:jc w:val="left"/>
            </w:pPr>
            <w:r>
              <w:t xml:space="preserve">$6,840.00</w:t>
            </w:r>
          </w:p>
        </w:tc>
        <w:tc>
          <w:tcPr/>
          <w:p>
            <w:pPr>
              <w:pStyle w:val="Compact"/>
              <w:jc w:val="left"/>
            </w:pPr>
            <w:r>
              <w:t xml:space="preserve">June 2 – June 10, 2025</w:t>
            </w:r>
          </w:p>
        </w:tc>
      </w:tr>
      <w:tr>
        <w:tc>
          <w:tcPr/>
          <w:p>
            <w:pPr>
              <w:pStyle w:val="Compact"/>
              <w:jc w:val="left"/>
            </w:pPr>
            <w:r>
              <w:t xml:space="preserve">4</w:t>
            </w:r>
          </w:p>
        </w:tc>
        <w:tc>
          <w:tcPr/>
          <w:p>
            <w:pPr>
              <w:pStyle w:val="Compact"/>
              <w:jc w:val="left"/>
            </w:pPr>
            <w:r>
              <w:rPr>
                <w:bCs/>
                <w:b/>
              </w:rPr>
              <w:t xml:space="preserve">Regulatory Statistical Report &amp; FDA Submission Support</w:t>
            </w:r>
            <w:r>
              <w:t xml:space="preserve"> </w:t>
            </w:r>
            <w:r>
              <w:t xml:space="preserve">– The Statistician authored the complete statistical analysis plan (SAP), the clinical study report (CSR) statistical section, and provided verbal and written support during the pre-submission meeting with the FDA Division of Biometrics in Rockville, Maryland. All documentation was prepared to meet 21 CFR Part 11 electronic record standards.</w:t>
            </w:r>
          </w:p>
        </w:tc>
        <w:tc>
          <w:tcPr/>
          <w:p>
            <w:pPr>
              <w:pStyle w:val="Compact"/>
              <w:jc w:val="left"/>
            </w:pPr>
            <w:r>
              <w:t xml:space="preserve">$310/hr</w:t>
            </w:r>
          </w:p>
        </w:tc>
        <w:tc>
          <w:tcPr/>
          <w:p>
            <w:pPr>
              <w:pStyle w:val="Compact"/>
              <w:jc w:val="left"/>
            </w:pPr>
            <w:r>
              <w:t xml:space="preserve">18</w:t>
            </w:r>
          </w:p>
        </w:tc>
        <w:tc>
          <w:tcPr/>
          <w:p>
            <w:pPr>
              <w:pStyle w:val="Compact"/>
              <w:jc w:val="left"/>
            </w:pPr>
            <w:r>
              <w:t xml:space="preserve">$5,580.00</w:t>
            </w:r>
          </w:p>
        </w:tc>
        <w:tc>
          <w:tcPr/>
          <w:p>
            <w:pPr>
              <w:pStyle w:val="Compact"/>
              <w:jc w:val="left"/>
            </w:pPr>
            <w:r>
              <w:t xml:space="preserve">June 11 – June 14, 2025</w:t>
            </w:r>
          </w:p>
        </w:tc>
      </w:tr>
      <w:tr>
        <w:tc>
          <w:tcPr/>
          <w:p>
            <w:pPr>
              <w:pStyle w:val="Compact"/>
              <w:jc w:val="left"/>
            </w:pPr>
            <w:r>
              <w:t xml:space="preserve">5</w:t>
            </w:r>
          </w:p>
        </w:tc>
        <w:tc>
          <w:tcPr/>
          <w:p>
            <w:pPr>
              <w:pStyle w:val="Compact"/>
              <w:jc w:val="left"/>
            </w:pPr>
            <w:r>
              <w:rPr>
                <w:bCs/>
                <w:b/>
              </w:rPr>
              <w:t xml:space="preserve">Ad Hoc Data Auditing &amp; Quality Assurance Review</w:t>
            </w:r>
            <w:r>
              <w:t xml:space="preserve"> </w:t>
            </w:r>
            <w:r>
              <w:t xml:space="preserve">– The Statistician conducted a full data integrity audit of the client's electronic data capture (EDC) system, identified seventeen data discrepancies, and recommended corrective actions. A formal quality assurance memorandum was issued to the client's Data Management team in Los Angeles.</w:t>
            </w:r>
          </w:p>
        </w:tc>
        <w:tc>
          <w:tcPr/>
          <w:p>
            <w:pPr>
              <w:pStyle w:val="Compact"/>
              <w:jc w:val="left"/>
            </w:pPr>
            <w:r>
              <w:t xml:space="preserve">$265/hr</w:t>
            </w:r>
          </w:p>
        </w:tc>
        <w:tc>
          <w:tcPr/>
          <w:p>
            <w:pPr>
              <w:pStyle w:val="Compact"/>
              <w:jc w:val="left"/>
            </w:pPr>
            <w:r>
              <w:t xml:space="preserve">12</w:t>
            </w:r>
          </w:p>
        </w:tc>
        <w:tc>
          <w:tcPr/>
          <w:p>
            <w:pPr>
              <w:pStyle w:val="Compact"/>
              <w:jc w:val="left"/>
            </w:pPr>
            <w:r>
              <w:t xml:space="preserve">$3,180.00</w:t>
            </w:r>
          </w:p>
        </w:tc>
        <w:tc>
          <w:tcPr/>
          <w:p>
            <w:pPr>
              <w:pStyle w:val="Compact"/>
              <w:jc w:val="left"/>
            </w:pPr>
            <w:r>
              <w:t xml:space="preserve">June 12 – June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$32,700.00</w:t>
            </w:r>
          </w:p>
        </w:tc>
      </w:tr>
      <w:tr>
        <w:tc>
          <w:tcPr/>
          <w:p>
            <w:pPr>
              <w:pStyle w:val="Compact"/>
              <w:jc w:val="left"/>
            </w:pPr>
            <w:r>
              <w:t xml:space="preserve">Applicable Discount (Early Engagement Agreement)</w:t>
            </w:r>
          </w:p>
        </w:tc>
        <w:tc>
          <w:tcPr/>
          <w:p>
            <w:pPr>
              <w:pStyle w:val="Compact"/>
              <w:jc w:val="right"/>
            </w:pPr>
            <w:r>
              <w:t xml:space="preserve">-$1,635.00</w:t>
            </w:r>
          </w:p>
        </w:tc>
      </w:tr>
      <w:tr>
        <w:tc>
          <w:tcPr/>
          <w:p>
            <w:pPr>
              <w:pStyle w:val="Compact"/>
              <w:jc w:val="left"/>
            </w:pPr>
            <w:r>
              <w:t xml:space="preserve">Adjusted Subtotal</w:t>
            </w:r>
          </w:p>
        </w:tc>
        <w:tc>
          <w:tcPr/>
          <w:p>
            <w:pPr>
              <w:pStyle w:val="Compact"/>
              <w:jc w:val="right"/>
            </w:pPr>
            <w:r>
              <w:t xml:space="preserve">$31,065.00</w:t>
            </w:r>
          </w:p>
        </w:tc>
      </w:tr>
      <w:tr>
        <w:tc>
          <w:tcPr/>
          <w:p>
            <w:pPr>
              <w:pStyle w:val="Compact"/>
              <w:jc w:val="left"/>
            </w:pPr>
            <w:r>
              <w:t xml:space="preserve">California State Sales &amp; Use Tax (7.25% – Los Angeles County)</w:t>
            </w:r>
          </w:p>
        </w:tc>
        <w:tc>
          <w:tcPr/>
          <w:p>
            <w:pPr>
              <w:pStyle w:val="Compact"/>
              <w:jc w:val="right"/>
            </w:pPr>
            <w:r>
              <w:t xml:space="preserve">$2,252.21</w:t>
            </w:r>
          </w:p>
        </w:tc>
      </w:tr>
      <w:tr>
        <w:tc>
          <w:tcPr/>
          <w:p>
            <w:pPr>
              <w:pStyle w:val="Compact"/>
              <w:jc w:val="left"/>
            </w:pPr>
            <w:r>
              <w:t xml:space="preserve">City of Los Angeles Municipal Tax (0.30%)</w:t>
            </w:r>
          </w:p>
        </w:tc>
        <w:tc>
          <w:tcPr/>
          <w:p>
            <w:pPr>
              <w:pStyle w:val="Compact"/>
              <w:jc w:val="right"/>
            </w:pPr>
            <w:r>
              <w:t xml:space="preserve">$93.20</w:t>
            </w:r>
          </w:p>
        </w:tc>
      </w:tr>
      <w:tr>
        <w:tc>
          <w:tcPr/>
          <w:p>
            <w:pPr>
              <w:pStyle w:val="Compact"/>
              <w:jc w:val="left"/>
            </w:pPr>
            <w:r>
              <w:t xml:space="preserve">GRAND TOTAL DUE</w:t>
            </w:r>
          </w:p>
        </w:tc>
        <w:tc>
          <w:tcPr/>
          <w:p>
            <w:pPr>
              <w:pStyle w:val="Compact"/>
              <w:jc w:val="right"/>
            </w:pPr>
            <w:r>
              <w:t xml:space="preserve">$33,410.41</w:t>
            </w:r>
          </w:p>
        </w:tc>
      </w:tr>
    </w:tbl>
    <w:bookmarkStart w:id="23"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by Dr. Eleanor M. Whitfield, a licensed and certified Statistician operating under the professional designation of CStat (Certified Statistician) as recognized by the American Statistical Association (ASA). All statistical work referenced in this Invoice was performed in full compliance with the ASA Code of Ethics and the professional standards governing statistical practice in the State of California and the United States.</w:t>
      </w:r>
    </w:p>
    <w:p>
      <w:pPr>
        <w:pStyle w:val="BodyText"/>
      </w:pPr>
      <w:r>
        <w:rPr>
          <w:bCs/>
          <w:b/>
        </w:rPr>
        <w:t xml:space="preserve">2.</w:t>
      </w:r>
      <w:r>
        <w:t xml:space="preserve"> </w:t>
      </w:r>
      <w:r>
        <w:t xml:space="preserve">Payment for this Invoice is due within thirty (30) calendar days of the Invoice date, no later than July 15, 2025. Please remit payment via ACH transfer, certified check, or wire transfer to the account details below. Late payments are subject to a 1.5% monthly finance charge as permitted under California Commercial Code Section 2201.</w:t>
      </w:r>
    </w:p>
    <w:p>
      <w:pPr>
        <w:pStyle w:val="BodyText"/>
      </w:pPr>
      <w:r>
        <w:rPr>
          <w:bCs/>
          <w:b/>
        </w:rPr>
        <w:t xml:space="preserve">3.</w:t>
      </w:r>
      <w:r>
        <w:t xml:space="preserve"> </w:t>
      </w:r>
      <w:r>
        <w:t xml:space="preserve">Bank: First Republic Bank, Los Angeles Branch, 100 Wilshire Boulevard, Los Angeles, CA 90017, United States. Account Name: Whitfield Statistical Analytics Group. Routing Number: 121000248. Account Number: ****-****-4872. Reference: INV-2025-LA-04872.</w:t>
      </w:r>
    </w:p>
    <w:p>
      <w:pPr>
        <w:pStyle w:val="BodyText"/>
      </w:pPr>
      <w:r>
        <w:rPr>
          <w:bCs/>
          <w:b/>
        </w:rPr>
        <w:t xml:space="preserve">4.</w:t>
      </w:r>
      <w:r>
        <w:t xml:space="preserve"> </w:t>
      </w:r>
      <w:r>
        <w:t xml:space="preserve">All statistical analyses, models, code, and reports delivered under this Invoice remain the intellectual property of the client upon full payment. The Statistician retains the right to reference the engagement in professional portfolios and academic publications, subject to a thirty-day prior written notice to the client for any confidential data redaction.</w:t>
      </w:r>
    </w:p>
    <w:p>
      <w:pPr>
        <w:pStyle w:val="BodyText"/>
      </w:pPr>
      <w:r>
        <w:rPr>
          <w:bCs/>
          <w:b/>
        </w:rPr>
        <w:t xml:space="preserve">5.</w:t>
      </w:r>
      <w:r>
        <w:t xml:space="preserve"> </w:t>
      </w:r>
      <w:r>
        <w:t xml:space="preserve">This Invoice is governed by the laws of the State of California, United States. Any disputes arising from this Invoice or the underlying services shall be resolved through binding arbitration in Los Angeles County, California, in accordance with the rules of the American Arbitration Association.</w:t>
      </w:r>
    </w:p>
    <w:p>
      <w:pPr>
        <w:pStyle w:val="BodyText"/>
      </w:pPr>
      <w:r>
        <w:rPr>
          <w:bCs/>
          <w:b/>
        </w:rPr>
        <w:t xml:space="preserve">6.</w:t>
      </w:r>
      <w:r>
        <w:t xml:space="preserve"> </w:t>
      </w:r>
      <w:r>
        <w:t xml:space="preserve">Questions regarding this Invoice or the statistical services rendered may be directed to the Statistician at the contact information listed above. Please reference Invoice Number INV-2025-LA-04872 in all correspondence.</w:t>
      </w:r>
    </w:p>
    <w:bookmarkEnd w:id="23"/>
    <w:p>
      <w:pPr>
        <w:pStyle w:val="BodyText"/>
      </w:pPr>
      <w:r>
        <w:rPr>
          <w:bCs/>
          <w:b/>
        </w:rPr>
        <w:t xml:space="preserve">Whitfield Statistical Analytics Group</w:t>
      </w:r>
      <w:r>
        <w:t xml:space="preserve"> </w:t>
      </w:r>
      <w:r>
        <w:t xml:space="preserve">| 4500 Wilshire Boulevard, Suite 1200, Los Angeles, CA 90010, United States</w:t>
      </w:r>
    </w:p>
    <w:p>
      <w:pPr>
        <w:pStyle w:val="BodyText"/>
      </w:pPr>
      <w:r>
        <w:t xml:space="preserve">CA Business License #CA-2019-884521 | Federal EIN 84-7721093 | ASA Member ID #2019-44871</w:t>
      </w:r>
    </w:p>
    <w:p>
      <w:pPr>
        <w:pStyle w:val="BodyText"/>
      </w:pPr>
      <w:r>
        <w:t xml:space="preserve">This Invoice was generated electronically and is valid without a physical signature. For authentication, contact the issuing Statistician directly.</w:t>
      </w:r>
    </w:p>
    <w:p>
      <w:pPr>
        <w:pStyle w:val="BodyText"/>
      </w:pPr>
      <w:r>
        <w:t xml:space="preserve">Thank you for your business. We appreciate the opportunity to serve as your trusted Statistician in the United States Los Angeles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States Los Angeles</dc:title>
  <dc:creator/>
  <dc:language>en</dc:language>
  <cp:keywords/>
  <dcterms:created xsi:type="dcterms:W3CDTF">2026-10-10T03:43:26Z</dcterms:created>
  <dcterms:modified xsi:type="dcterms:W3CDTF">2026-10-10T03:43:26Z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