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p>
      <w:pPr>
        <w:pStyle w:val="FirstParagraph"/>
      </w:pPr>
      <w:r>
        <w:t xml:space="preserve">INVOICE</w:t>
      </w:r>
    </w:p>
    <w:p>
      <w:pPr>
        <w:pStyle w:val="BodyText"/>
      </w:pPr>
      <w:r>
        <w:t xml:space="preserve">Professional Statistical Consulting Services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INV-2025-MIA-0047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t xml:space="preserve">PENDING PAYMENT</w:t>
      </w:r>
    </w:p>
    <w:bookmarkEnd w:id="20"/>
    <w:bookmarkStart w:id="21" w:name="from-service-provider"/>
    <w:p>
      <w:pPr>
        <w:pStyle w:val="Heading4"/>
      </w:pPr>
      <w:r>
        <w:t xml:space="preserve">From (Service Provider)</w:t>
      </w:r>
    </w:p>
    <w:p>
      <w:pPr>
        <w:pStyle w:val="FirstParagraph"/>
      </w:pPr>
      <w:r>
        <w:rPr>
          <w:bCs/>
          <w:b/>
        </w:rPr>
        <w:t xml:space="preserve">Dr. Elena Vasquez, Ph.D.</w:t>
      </w:r>
    </w:p>
    <w:p>
      <w:pPr>
        <w:pStyle w:val="BodyText"/>
      </w:pPr>
      <w:r>
        <w:t xml:space="preserve">Lead Statistician &amp; Data Analyst</w:t>
      </w:r>
    </w:p>
    <w:p>
      <w:pPr>
        <w:pStyle w:val="BodyText"/>
      </w:pPr>
      <w:r>
        <w:t xml:space="preserve">Vasquez Statistical Consulting Group</w:t>
      </w:r>
    </w:p>
    <w:p>
      <w:pPr>
        <w:pStyle w:val="BodyText"/>
      </w:pPr>
      <w:r>
        <w:t xml:space="preserve">1200 Biscayne Boulevard, Suite 840</w:t>
      </w:r>
    </w:p>
    <w:p>
      <w:pPr>
        <w:pStyle w:val="BodyText"/>
      </w:pPr>
      <w:r>
        <w:t xml:space="preserve">Miami, Florida 33132</w:t>
      </w:r>
    </w:p>
    <w:p>
      <w:pPr>
        <w:pStyle w:val="BodyText"/>
      </w:pPr>
      <w:r>
        <w:t xml:space="preserve">United States Miami</w:t>
      </w:r>
    </w:p>
    <w:p>
      <w:pPr>
        <w:pStyle w:val="BodyText"/>
      </w:pPr>
      <w:r>
        <w:t xml:space="preserve">Tel: (305) 555-0198</w:t>
      </w:r>
    </w:p>
    <w:p>
      <w:pPr>
        <w:pStyle w:val="BodyText"/>
      </w:pPr>
      <w:r>
        <w:t xml:space="preserve">Email: e.vasquez@vasquezstats.com</w:t>
      </w:r>
    </w:p>
    <w:p>
      <w:pPr>
        <w:pStyle w:val="BodyText"/>
      </w:pPr>
      <w:r>
        <w:t xml:space="preserve">FL Business License: FL-2019-884321</w:t>
      </w:r>
    </w:p>
    <w:bookmarkEnd w:id="21"/>
    <w:bookmarkStart w:id="22" w:name="bill-to-client"/>
    <w:p>
      <w:pPr>
        <w:pStyle w:val="Heading4"/>
      </w:pPr>
      <w:r>
        <w:t xml:space="preserve">Bill To (Client)</w:t>
      </w:r>
    </w:p>
    <w:p>
      <w:pPr>
        <w:pStyle w:val="FirstParagraph"/>
      </w:pPr>
      <w:r>
        <w:rPr>
          <w:bCs/>
          <w:b/>
        </w:rPr>
        <w:t xml:space="preserve">Atlantic Coast Research Institute</w:t>
      </w:r>
    </w:p>
    <w:p>
      <w:pPr>
        <w:pStyle w:val="BodyText"/>
      </w:pPr>
      <w:r>
        <w:t xml:space="preserve">Attn: Mr. David Thornton, Director of Research</w:t>
      </w:r>
    </w:p>
    <w:p>
      <w:pPr>
        <w:pStyle w:val="BodyText"/>
      </w:pPr>
      <w:r>
        <w:t xml:space="preserve">2450 Brickell Avenue, Floor 15</w:t>
      </w:r>
    </w:p>
    <w:p>
      <w:pPr>
        <w:pStyle w:val="BodyText"/>
      </w:pPr>
      <w:r>
        <w:t xml:space="preserve">Miami, Florida 33129</w:t>
      </w:r>
    </w:p>
    <w:p>
      <w:pPr>
        <w:pStyle w:val="BodyText"/>
      </w:pPr>
      <w:r>
        <w:t xml:space="preserve">United States Miami</w:t>
      </w:r>
    </w:p>
    <w:p>
      <w:pPr>
        <w:pStyle w:val="BodyText"/>
      </w:pPr>
      <w:r>
        <w:t xml:space="preserve">Tel: (305) 555-0342</w:t>
      </w:r>
    </w:p>
    <w:p>
      <w:pPr>
        <w:pStyle w:val="BodyText"/>
      </w:pPr>
      <w:r>
        <w:t xml:space="preserve">Email: d.thornton@atcoastresearch.org</w:t>
      </w:r>
    </w:p>
    <w:p>
      <w:pPr>
        <w:pStyle w:val="BodyText"/>
      </w:pPr>
      <w:r>
        <w:t xml:space="preserve">EIN: 82-4471903</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Statistician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Statistical Modeling &amp; Regression Analysis</w:t>
            </w:r>
            <w:r>
              <w:t xml:space="preserve"> </w:t>
            </w:r>
            <w:r>
              <w:t xml:space="preserve">– The Statistician conducted a comprehensive multivariate regression analysis for the client's coastal erosion dataset. This included variable selection, model fitting, residual diagnostics, and predictive accuracy assessment using R and Python statistical frameworks.</w:t>
            </w:r>
          </w:p>
        </w:tc>
        <w:tc>
          <w:tcPr/>
          <w:p>
            <w:pPr>
              <w:pStyle w:val="Compact"/>
              <w:jc w:val="left"/>
            </w:pPr>
            <w:r>
              <w:t xml:space="preserve">May 5 – May 9, 2025</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rPr>
                <w:bCs/>
                <w:b/>
              </w:rPr>
              <w:t xml:space="preserve">Bayesian Inference &amp; Monte Carlo Simulation</w:t>
            </w:r>
            <w:r>
              <w:t xml:space="preserve"> </w:t>
            </w:r>
            <w:r>
              <w:t xml:space="preserve">– The Statistician performed Bayesian hierarchical modeling to estimate uncertainty in climate impact projections. This involved constructing prior distributions, running Markov Chain Monte Carlo (MCMC) simulations, and generating posterior probability distributions for key environmental parameters.</w:t>
            </w:r>
          </w:p>
        </w:tc>
        <w:tc>
          <w:tcPr/>
          <w:p>
            <w:pPr>
              <w:pStyle w:val="Compact"/>
              <w:jc w:val="left"/>
            </w:pPr>
            <w:r>
              <w:t xml:space="preserve">May 12 – May 16, 2025</w:t>
            </w:r>
          </w:p>
        </w:tc>
        <w:tc>
          <w:tcPr/>
          <w:p>
            <w:pPr>
              <w:pStyle w:val="Compact"/>
              <w:jc w:val="left"/>
            </w:pPr>
            <w:r>
              <w:t xml:space="preserve">36</w:t>
            </w:r>
          </w:p>
        </w:tc>
        <w:tc>
          <w:tcPr/>
          <w:p>
            <w:pPr>
              <w:pStyle w:val="Compact"/>
              <w:jc w:val="left"/>
            </w:pPr>
            <w:r>
              <w:t xml:space="preserve">$185.00</w:t>
            </w:r>
          </w:p>
        </w:tc>
        <w:tc>
          <w:tcPr/>
          <w:p>
            <w:pPr>
              <w:pStyle w:val="Compact"/>
              <w:jc w:val="left"/>
            </w:pPr>
            <w:r>
              <w:t xml:space="preserve">$6,660.00</w:t>
            </w:r>
          </w:p>
        </w:tc>
      </w:tr>
      <w:tr>
        <w:tc>
          <w:tcPr/>
          <w:p>
            <w:pPr>
              <w:pStyle w:val="Compact"/>
              <w:jc w:val="left"/>
            </w:pPr>
            <w:r>
              <w:t xml:space="preserve">3</w:t>
            </w:r>
          </w:p>
        </w:tc>
        <w:tc>
          <w:tcPr/>
          <w:p>
            <w:pPr>
              <w:pStyle w:val="Compact"/>
              <w:jc w:val="left"/>
            </w:pPr>
            <w:r>
              <w:rPr>
                <w:bCs/>
                <w:b/>
              </w:rPr>
              <w:t xml:space="preserve">Survey Design &amp; Sampling Strategy Consultation</w:t>
            </w:r>
            <w:r>
              <w:t xml:space="preserve"> </w:t>
            </w:r>
            <w:r>
              <w:t xml:space="preserve">– The Statistician designed a stratified random sampling framework for the client's upcoming field survey across three Miami-Dade County districts. This included power analysis, sample size determination, and bias mitigation protocols to ensure statistically valid inferences.</w:t>
            </w:r>
          </w:p>
        </w:tc>
        <w:tc>
          <w:tcPr/>
          <w:p>
            <w:pPr>
              <w:pStyle w:val="Compact"/>
              <w:jc w:val="left"/>
            </w:pPr>
            <w:r>
              <w:t xml:space="preserve">May 19 – May 21, 2025</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4</w:t>
            </w:r>
          </w:p>
        </w:tc>
        <w:tc>
          <w:tcPr/>
          <w:p>
            <w:pPr>
              <w:pStyle w:val="Compact"/>
              <w:jc w:val="left"/>
            </w:pPr>
            <w:r>
              <w:rPr>
                <w:bCs/>
                <w:b/>
              </w:rPr>
              <w:t xml:space="preserve">Data Visualization &amp; Statistical Reporting</w:t>
            </w:r>
            <w:r>
              <w:t xml:space="preserve"> </w:t>
            </w:r>
            <w:r>
              <w:t xml:space="preserve">– The Statistician prepared a 45-page technical report with interactive visualizations, confidence interval plots, heat maps, and executive summaries. All figures were generated using ggplot2 and Tableau, formatted for peer-reviewed publication and board presentation.</w:t>
            </w:r>
          </w:p>
        </w:tc>
        <w:tc>
          <w:tcPr/>
          <w:p>
            <w:pPr>
              <w:pStyle w:val="Compact"/>
              <w:jc w:val="left"/>
            </w:pPr>
            <w:r>
              <w:t xml:space="preserve">May 26 – May 30, 2025</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5</w:t>
            </w:r>
          </w:p>
        </w:tc>
        <w:tc>
          <w:tcPr/>
          <w:p>
            <w:pPr>
              <w:pStyle w:val="Compact"/>
              <w:jc w:val="left"/>
            </w:pPr>
            <w:r>
              <w:rPr>
                <w:bCs/>
                <w:b/>
              </w:rPr>
              <w:t xml:space="preserve">On-Site Statistical Workshop &amp; Training</w:t>
            </w:r>
            <w:r>
              <w:t xml:space="preserve"> </w:t>
            </w:r>
            <w:r>
              <w:t xml:space="preserve">– The Statistician delivered a two-day in-person workshop at the client's Miami office, training a team of twelve research analysts in hypothesis testing, ANOVA, non-parametric methods, and statistical software proficiency. Materials and certificates of completion were provided.</w:t>
            </w:r>
          </w:p>
        </w:tc>
        <w:tc>
          <w:tcPr/>
          <w:p>
            <w:pPr>
              <w:pStyle w:val="Compact"/>
              <w:jc w:val="left"/>
            </w:pPr>
            <w:r>
              <w:t xml:space="preserve">June 2 – June 3, 2025</w:t>
            </w:r>
          </w:p>
        </w:tc>
        <w:tc>
          <w:tcPr/>
          <w:p>
            <w:pPr>
              <w:pStyle w:val="Compact"/>
              <w:jc w:val="left"/>
            </w:pPr>
            <w:r>
              <w:t xml:space="preserve">16</w:t>
            </w:r>
          </w:p>
        </w:tc>
        <w:tc>
          <w:tcPr/>
          <w:p>
            <w:pPr>
              <w:pStyle w:val="Compact"/>
              <w:jc w:val="left"/>
            </w:pPr>
            <w:r>
              <w:t xml:space="preserve">$225.00</w:t>
            </w:r>
          </w:p>
        </w:tc>
        <w:tc>
          <w:tcPr/>
          <w:p>
            <w:pPr>
              <w:pStyle w:val="Compact"/>
              <w:jc w:val="left"/>
            </w:pPr>
            <w:r>
              <w:t xml:space="preserve">$3,600.00</w:t>
            </w:r>
          </w:p>
        </w:tc>
      </w:tr>
      <w:tr>
        <w:tc>
          <w:tcPr/>
          <w:p>
            <w:pPr>
              <w:pStyle w:val="Compact"/>
              <w:jc w:val="left"/>
            </w:pPr>
            <w:r>
              <w:t xml:space="preserve">6</w:t>
            </w:r>
          </w:p>
        </w:tc>
        <w:tc>
          <w:tcPr/>
          <w:p>
            <w:pPr>
              <w:pStyle w:val="Compact"/>
              <w:jc w:val="left"/>
            </w:pPr>
            <w:r>
              <w:rPr>
                <w:bCs/>
                <w:b/>
              </w:rPr>
              <w:t xml:space="preserve">Quality Assurance &amp; Peer Review of Statistical Methods</w:t>
            </w:r>
            <w:r>
              <w:t xml:space="preserve"> </w:t>
            </w:r>
            <w:r>
              <w:t xml:space="preserve">– The Statistician reviewed and validated all statistical methodologies employed in the client's Q2 2025 research manuscript. This included checking for Type I and Type II error rates, verifying p-value calculations, and ensuring compliance with APA statistical reporting standards.</w:t>
            </w:r>
          </w:p>
        </w:tc>
        <w:tc>
          <w:tcPr/>
          <w:p>
            <w:pPr>
              <w:pStyle w:val="Compact"/>
              <w:jc w:val="left"/>
            </w:pPr>
            <w:r>
              <w:t xml:space="preserve">June 5 – June 6, 2025</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$30,240.00</w:t>
            </w:r>
          </w:p>
        </w:tc>
      </w:tr>
      <w:tr>
        <w:tc>
          <w:tcPr/>
          <w:p>
            <w:pPr>
              <w:pStyle w:val="Compact"/>
              <w:jc w:val="left"/>
            </w:pPr>
            <w:r>
              <w:t xml:space="preserve">Florida State Sales Tax (7.0%)</w:t>
            </w:r>
          </w:p>
        </w:tc>
        <w:tc>
          <w:tcPr/>
          <w:p>
            <w:pPr>
              <w:pStyle w:val="Compact"/>
              <w:jc w:val="right"/>
            </w:pPr>
            <w:r>
              <w:t xml:space="preserve">$2,116.80</w:t>
            </w:r>
          </w:p>
        </w:tc>
      </w:tr>
      <w:tr>
        <w:tc>
          <w:tcPr/>
          <w:p>
            <w:pPr>
              <w:pStyle w:val="Compact"/>
              <w:jc w:val="left"/>
            </w:pPr>
            <w:r>
              <w:t xml:space="preserve">Miami-Dade County Surcharge (1.0%)</w:t>
            </w:r>
          </w:p>
        </w:tc>
        <w:tc>
          <w:tcPr/>
          <w:p>
            <w:pPr>
              <w:pStyle w:val="Compact"/>
              <w:jc w:val="right"/>
            </w:pPr>
            <w:r>
              <w:t xml:space="preserve">$302.40</w:t>
            </w:r>
          </w:p>
        </w:tc>
      </w:tr>
      <w:tr>
        <w:tc>
          <w:tcPr/>
          <w:p>
            <w:pPr>
              <w:pStyle w:val="Compact"/>
              <w:jc w:val="left"/>
            </w:pPr>
            <w:r>
              <w:t xml:space="preserve">Discount – Early Payment (2%)</w:t>
            </w:r>
          </w:p>
        </w:tc>
        <w:tc>
          <w:tcPr/>
          <w:p>
            <w:pPr>
              <w:pStyle w:val="Compact"/>
              <w:jc w:val="right"/>
            </w:pPr>
            <w:r>
              <w:t xml:space="preserve">-$604.80</w:t>
            </w:r>
          </w:p>
        </w:tc>
      </w:tr>
      <w:tr>
        <w:tc>
          <w:tcPr/>
          <w:p>
            <w:pPr>
              <w:pStyle w:val="Compact"/>
              <w:jc w:val="left"/>
            </w:pPr>
            <w:r>
              <w:t xml:space="preserve">Total Amount Due</w:t>
            </w:r>
          </w:p>
        </w:tc>
        <w:tc>
          <w:tcPr/>
          <w:p>
            <w:pPr>
              <w:pStyle w:val="Compact"/>
              <w:jc w:val="right"/>
            </w:pPr>
            <w:r>
              <w:t xml:space="preserve">$32,054.40</w:t>
            </w:r>
          </w:p>
        </w:tc>
      </w:tr>
    </w:tbl>
    <w:bookmarkStart w:id="23" w:name="payment-instructions-notes"/>
    <w:p>
      <w:pPr>
        <w:pStyle w:val="Heading4"/>
      </w:pPr>
      <w:r>
        <w:t xml:space="preserve">Payment Instructions &amp; Notes</w:t>
      </w:r>
    </w:p>
    <w:p>
      <w:pPr>
        <w:pStyle w:val="FirstParagraph"/>
      </w:pPr>
      <w:r>
        <w:t xml:space="preserve">This Invoice is issued by Vasquez Statistical Consulting Group, a registered professional services firm operating in United States Miami, Florida. All statistical consulting services rendered by the Statistician were performed in accordance with the professional standards set forth by the American Statistical Association (ASA) and the Florida Board of Professional Engineers, Surveyors, and Land Surveyors.</w:t>
      </w:r>
    </w:p>
    <w:p>
      <w:pPr>
        <w:pStyle w:val="BodyText"/>
      </w:pPr>
      <w:r>
        <w:rPr>
          <w:bCs/>
          <w:b/>
        </w:rPr>
        <w:t xml:space="preserve">Payment Method:</w:t>
      </w:r>
      <w:r>
        <w:t xml:space="preserve"> </w:t>
      </w:r>
      <w:r>
        <w:t xml:space="preserve">Please remit payment via wire transfer to First National Bank of Miami, Account No. 4471-8823-001, Routing No. 021000021, or via certified check made payable to "Vasquez Statistical Consulting Group." A 1.5% late fee will be applied to any balance outstanding beyond the due date of July 12, 2025, in compliance with Florida Statute Chapter 668.</w:t>
      </w:r>
    </w:p>
    <w:p>
      <w:pPr>
        <w:pStyle w:val="BodyText"/>
      </w:pPr>
      <w:r>
        <w:rPr>
          <w:bCs/>
          <w:b/>
        </w:rPr>
        <w:t xml:space="preserve">Confidentiality:</w:t>
      </w:r>
      <w:r>
        <w:t xml:space="preserve"> </w:t>
      </w:r>
      <w:r>
        <w:t xml:space="preserve">All data, models, and analytical outputs produced by the Statistician during the engagement period remain the exclusive intellectual property of Atlantic Coast Research Institute. The Statistician and Vasquez Statistical Consulting Group agree to maintain strict confidentiality of all proprietary information in accordance with the Non-Disclosure Agreement executed on April 1, 2025.</w:t>
      </w:r>
    </w:p>
    <w:p>
      <w:pPr>
        <w:pStyle w:val="BodyText"/>
      </w:pPr>
      <w:r>
        <w:rPr>
          <w:bCs/>
          <w:b/>
        </w:rPr>
        <w:t xml:space="preserve">Tax Exemption:</w:t>
      </w:r>
      <w:r>
        <w:t xml:space="preserve"> </w:t>
      </w:r>
      <w:r>
        <w:t xml:space="preserve">If your organization qualifies for tax exemption under Florida Statute 212.02, please provide a valid Florida Tax Exemption Certificate (Form DR-1163) prior to the due date to have applicable taxes removed from this Invoice.</w:t>
      </w:r>
    </w:p>
    <w:p>
      <w:pPr>
        <w:pStyle w:val="BodyText"/>
      </w:pPr>
      <w:r>
        <w:rPr>
          <w:bCs/>
          <w:b/>
        </w:rPr>
        <w:t xml:space="preserve">Dispute Resolution:</w:t>
      </w:r>
      <w:r>
        <w:t xml:space="preserve"> </w:t>
      </w:r>
      <w:r>
        <w:t xml:space="preserve">Any disputes arising from this Invoice or the services described herein shall be resolved through binding arbitration in Miami-Dade County, Florida, United States Miami, in accordance with the Florida Arbitration Code (Florida Statutes Chapter 67).</w:t>
      </w:r>
    </w:p>
    <w:bookmarkEnd w:id="23"/>
    <w:p>
      <w:pPr>
        <w:pStyle w:val="BodyText"/>
      </w:pPr>
      <w:r>
        <w:rPr>
          <w:bCs/>
          <w:b/>
        </w:rPr>
        <w:t xml:space="preserve">Vasquez Statistical Consulting Group</w:t>
      </w:r>
      <w:r>
        <w:t xml:space="preserve"> </w:t>
      </w:r>
      <w:r>
        <w:t xml:space="preserve">| 1200 Biscayne Boulevard, Suite 840, Miami, FL 33132, United States Miami</w:t>
      </w:r>
    </w:p>
    <w:p>
      <w:pPr>
        <w:pStyle w:val="BodyText"/>
      </w:pPr>
      <w:r>
        <w:t xml:space="preserve">Florida Business License: FL-2019-884321 | EIN: 82-9914567 | This Invoice is valid for 90 days from the date of issue.</w:t>
      </w:r>
    </w:p>
    <w:p>
      <w:pPr>
        <w:pStyle w:val="BodyText"/>
      </w:pPr>
      <w:r>
        <w:t xml:space="preserve">Thank you for engaging our Statistician for your research needs. We look forward to continuing our professional partnership in United States Miami.</w:t>
      </w:r>
    </w:p>
    <w:p>
      <w:pPr>
        <w:pStyle w:val="BodyText"/>
      </w:pPr>
      <w:r>
        <w:t xml:space="preserve">© 2025 Vasquez Statistical Consulting Group. All rights reserved. This document is a legally binding Invoice.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United States Miami</dc:title>
  <dc:creator/>
  <dc:language>en</dc:language>
  <cp:keywords/>
  <dcterms:created xsi:type="dcterms:W3CDTF">2026-10-10T02:42:26Z</dcterms:created>
  <dcterms:modified xsi:type="dcterms:W3CDTF">2026-10-10T02:42:26Z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