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1" w:name="dr.-alexander-sterling"/>
    <w:p>
      <w:pPr>
        <w:pStyle w:val="Heading1"/>
      </w:pPr>
      <w:r>
        <w:t xml:space="preserve">Dr. Alexander Sterling</w:t>
      </w:r>
    </w:p>
    <w:bookmarkStart w:id="20" w:name="consultant-orthopaedic-surgeon"/>
    <w:p>
      <w:pPr>
        <w:pStyle w:val="Heading2"/>
      </w:pPr>
      <w:r>
        <w:t xml:space="preserve">Consultant Orthopaedic Surgeon</w:t>
      </w:r>
    </w:p>
    <w:p>
      <w:pPr>
        <w:pStyle w:val="FirstParagraph"/>
      </w:pPr>
      <w:r>
        <w:t xml:space="preserve">Level 12, Collins Medical Centre</w:t>
      </w:r>
      <w:r>
        <w:br/>
      </w:r>
      <w:r>
        <w:t xml:space="preserve">300 Collins Street</w:t>
      </w:r>
      <w:r>
        <w:br/>
      </w:r>
      <w:r>
        <w:t xml:space="preserve">Melbourne VIC 3000</w:t>
      </w:r>
      <w:r>
        <w:br/>
      </w:r>
      <w:r>
        <w:t xml:space="preserve">Australia</w:t>
      </w:r>
    </w:p>
    <w:p>
      <w:pPr>
        <w:pStyle w:val="BodyText"/>
      </w:pPr>
      <w:r>
        <w:t xml:space="preserve">Phone: +61 3 9000 1234</w:t>
      </w:r>
      <w:r>
        <w:br/>
      </w:r>
      <w:r>
        <w:t xml:space="preserve">Email: billing@sterlingsurgery.com.au</w:t>
      </w:r>
    </w:p>
    <w:p>
      <w:pPr>
        <w:pStyle w:val="BodyText"/>
      </w:pPr>
      <w:r>
        <w:rPr>
          <w:bCs/>
          <w:b/>
        </w:rPr>
        <w:t xml:space="preserve">MB Number:</w:t>
      </w:r>
      <w:r>
        <w:t xml:space="preserve"> </w:t>
      </w:r>
      <w:r>
        <w:t xml:space="preserve">1234567890</w:t>
      </w:r>
      <w:r>
        <w:br/>
      </w:r>
      <w:r>
        <w:rPr>
          <w:bCs/>
          <w:b/>
        </w:rPr>
        <w:t xml:space="preserve">ABN:</w:t>
      </w:r>
      <w:r>
        <w:t xml:space="preserve"> </w:t>
      </w:r>
      <w:r>
        <w:t xml:space="preserve">12 345 678 901</w:t>
      </w:r>
      <w:r>
        <w:br/>
      </w:r>
      <w:r>
        <w:rPr>
          <w:bCs/>
          <w:b/>
        </w:rPr>
        <w:t xml:space="preserve">PRBA Member:</w:t>
      </w:r>
      <w:r>
        <w:t xml:space="preserve"> </w:t>
      </w:r>
      <w:r>
        <w:t xml:space="preserve">Yes</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INV-2023-10-459</w:t>
      </w:r>
    </w:p>
    <w:p>
      <w:pPr>
        <w:pStyle w:val="BodyText"/>
      </w:pPr>
      <w:r>
        <w:rPr>
          <w:bCs/>
          <w:b/>
        </w:rPr>
        <w:t xml:space="preserve">Date of Issue:</w:t>
      </w:r>
      <w:r>
        <w:t xml:space="preserve"> </w:t>
      </w:r>
      <w:r>
        <w:t xml:space="preserve">24 October 2023</w:t>
      </w:r>
    </w:p>
    <w:p>
      <w:pPr>
        <w:pStyle w:val="BodyText"/>
      </w:pPr>
      <w:r>
        <w:rPr>
          <w:bCs/>
          <w:b/>
        </w:rPr>
        <w:t xml:space="preserve">Date of Service:</w:t>
      </w:r>
      <w:r>
        <w:t xml:space="preserve"> </w:t>
      </w:r>
      <w:r>
        <w:t xml:space="preserve">15 October 2023</w:t>
      </w:r>
    </w:p>
    <w:p>
      <w:pPr>
        <w:pStyle w:val="BodyText"/>
      </w:pPr>
      <w:r>
        <w:rPr>
          <w:bCs/>
          <w:b/>
        </w:rPr>
        <w:t xml:space="preserve">Due Date:</w:t>
      </w:r>
      <w:r>
        <w:t xml:space="preserve"> </w:t>
      </w:r>
      <w:r>
        <w:t xml:space="preserve">24 November 2023</w:t>
      </w:r>
    </w:p>
    <w:bookmarkEnd w:id="22"/>
    <w:bookmarkStart w:id="23" w:name="bill-to"/>
    <w:p>
      <w:pPr>
        <w:pStyle w:val="Heading4"/>
      </w:pPr>
      <w:r>
        <w:t xml:space="preserve">Bill To:</w:t>
      </w:r>
    </w:p>
    <w:p>
      <w:pPr>
        <w:pStyle w:val="FirstParagraph"/>
      </w:pPr>
      <w:r>
        <w:rPr>
          <w:bCs/>
          <w:b/>
        </w:rPr>
        <w:t xml:space="preserve">Mr. James Wilson</w:t>
      </w:r>
    </w:p>
    <w:p>
      <w:pPr>
        <w:pStyle w:val="BodyText"/>
      </w:pPr>
      <w:r>
        <w:t xml:space="preserve">45 Chapel Street, South Yarra</w:t>
      </w:r>
      <w:r>
        <w:br/>
      </w:r>
      <w:r>
        <w:t xml:space="preserve">Melbourne VIC 3141</w:t>
      </w:r>
      <w:r>
        <w:br/>
      </w:r>
      <w:r>
        <w:t xml:space="preserve">Australia</w:t>
      </w:r>
    </w:p>
    <w:p>
      <w:pPr>
        <w:pStyle w:val="BodyText"/>
      </w:pPr>
      <w:r>
        <w:rPr>
          <w:bCs/>
          <w:b/>
        </w:rPr>
        <w:t xml:space="preserve">Health Fund:</w:t>
      </w:r>
      <w:r>
        <w:t xml:space="preserve"> </w:t>
      </w:r>
      <w:r>
        <w:t xml:space="preserve">Bupa Private Health Insurance</w:t>
      </w:r>
    </w:p>
    <w:p>
      <w:pPr>
        <w:pStyle w:val="BodyText"/>
      </w:pPr>
      <w:r>
        <w:rPr>
          <w:bCs/>
          <w:b/>
        </w:rPr>
        <w:t xml:space="preserve">Member Number:</w:t>
      </w:r>
      <w:r>
        <w:t xml:space="preserve"> </w:t>
      </w:r>
      <w:r>
        <w:t xml:space="preserve">BUP-99887766</w:t>
      </w:r>
    </w:p>
    <w:p>
      <w:pPr>
        <w:pStyle w:val="BodyText"/>
      </w:pPr>
      <w:r>
        <w:rPr>
          <w:bCs/>
          <w:b/>
        </w:rPr>
        <w:t xml:space="preserve">Group Number:</w:t>
      </w:r>
      <w:r>
        <w:t xml:space="preserve"> </w:t>
      </w:r>
      <w:r>
        <w:t xml:space="preserve">GRP-554433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MBS Item No.</w:t>
            </w:r>
          </w:p>
        </w:tc>
        <w:tc>
          <w:tcPr/>
          <w:p>
            <w:pPr>
              <w:pStyle w:val="Compact"/>
              <w:jc w:val="left"/>
            </w:pPr>
            <w:r>
              <w:t xml:space="preserve">Description of Surgical Services</w:t>
            </w:r>
          </w:p>
        </w:tc>
        <w:tc>
          <w:tcPr/>
          <w:p>
            <w:pPr>
              <w:pStyle w:val="Compact"/>
              <w:jc w:val="left"/>
            </w:pPr>
            <w:r>
              <w:t xml:space="preserve">Fee (AUD)</w:t>
            </w:r>
          </w:p>
        </w:tc>
        <w:tc>
          <w:tcPr/>
          <w:p>
            <w:pPr>
              <w:pStyle w:val="Compact"/>
              <w:jc w:val="left"/>
            </w:pPr>
            <w:r>
              <w:t xml:space="preserve">MBS Schedule Fee</w:t>
            </w:r>
          </w:p>
        </w:tc>
      </w:tr>
      <w:tr>
        <w:tc>
          <w:tcPr/>
          <w:p>
            <w:pPr>
              <w:pStyle w:val="Compact"/>
              <w:jc w:val="left"/>
            </w:pPr>
            <w:r>
              <w:t xml:space="preserve">1</w:t>
            </w:r>
          </w:p>
        </w:tc>
        <w:tc>
          <w:tcPr/>
          <w:p>
            <w:pPr>
              <w:pStyle w:val="Compact"/>
              <w:jc w:val="left"/>
            </w:pPr>
            <w:r>
              <w:t xml:space="preserve">45102</w:t>
            </w:r>
          </w:p>
        </w:tc>
        <w:tc>
          <w:tcPr/>
          <w:p>
            <w:pPr>
              <w:pStyle w:val="Compact"/>
              <w:jc w:val="left"/>
            </w:pPr>
            <w:r>
              <w:rPr>
                <w:bCs/>
                <w:b/>
              </w:rPr>
              <w:t xml:space="preserve">Arthroscopy, Knee:</w:t>
            </w:r>
            <w:r>
              <w:t xml:space="preserve"> </w:t>
            </w:r>
            <w:r>
              <w:t xml:space="preserve">Diagnostic arthroscopy of the knee joint performed by Consultant Surgeon Dr. A. Sterling at the Melbourne Private Hospital. Procedure included detailed visual inspection of the menisci and articular cartilage to assess structural integrity and identify sources of chronic pain.</w:t>
            </w:r>
          </w:p>
        </w:tc>
        <w:tc>
          <w:tcPr/>
          <w:p>
            <w:pPr>
              <w:pStyle w:val="Compact"/>
              <w:jc w:val="left"/>
            </w:pPr>
            <w:r>
              <w:t xml:space="preserve">$850.00</w:t>
            </w:r>
          </w:p>
        </w:tc>
        <w:tc>
          <w:tcPr/>
          <w:p>
            <w:pPr>
              <w:pStyle w:val="Compact"/>
              <w:jc w:val="left"/>
            </w:pPr>
            <w:r>
              <w:t xml:space="preserve">$420.50</w:t>
            </w:r>
          </w:p>
        </w:tc>
      </w:tr>
      <w:tr>
        <w:tc>
          <w:tcPr/>
          <w:p>
            <w:pPr>
              <w:pStyle w:val="Compact"/>
              <w:jc w:val="left"/>
            </w:pPr>
            <w:r>
              <w:t xml:space="preserve">2</w:t>
            </w:r>
          </w:p>
        </w:tc>
        <w:tc>
          <w:tcPr/>
          <w:p>
            <w:pPr>
              <w:pStyle w:val="Compact"/>
              <w:jc w:val="left"/>
            </w:pPr>
            <w:r>
              <w:t xml:space="preserve">45104</w:t>
            </w:r>
          </w:p>
        </w:tc>
        <w:tc>
          <w:tcPr/>
          <w:p>
            <w:pPr>
              <w:pStyle w:val="Compact"/>
              <w:jc w:val="left"/>
            </w:pPr>
            <w:r>
              <w:rPr>
                <w:bCs/>
                <w:b/>
              </w:rPr>
              <w:t xml:space="preserve">Arthroscopic Meniscectomy:</w:t>
            </w:r>
            <w:r>
              <w:t xml:space="preserve"> </w:t>
            </w:r>
            <w:r>
              <w:t xml:space="preserve">Partial meniscectomy of the medial meniscus. This surgical intervention was conducted to remove the torn fragment of the meniscus causing mechanical locking and inflammation. The procedure was performed under general anaesthesia with standard sterile protocols.</w:t>
            </w:r>
          </w:p>
        </w:tc>
        <w:tc>
          <w:tcPr/>
          <w:p>
            <w:pPr>
              <w:pStyle w:val="Compact"/>
              <w:jc w:val="left"/>
            </w:pPr>
            <w:r>
              <w:t xml:space="preserve">$1,200.00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45106</w:t>
            </w:r>
          </w:p>
        </w:tc>
        <w:tc>
          <w:tcPr/>
          <w:p>
            <w:pPr>
              <w:pStyle w:val="Compact"/>
              <w:jc w:val="left"/>
            </w:pPr>
            <w:r>
              <w:rPr>
                <w:bCs/>
                <w:b/>
              </w:rPr>
              <w:t xml:space="preserve">Arthroscopic Chondroplasty:</w:t>
            </w:r>
            <w:r>
              <w:t xml:space="preserve"> </w:t>
            </w:r>
            <w:r>
              <w:t xml:space="preserve">Debridement and chondroplasty of the medial femoral condyle. The surgeon performed smoothing of the articular cartilage surface to reduce friction and prevent further degeneration of the joint tissue during the same operative session.</w:t>
            </w:r>
          </w:p>
        </w:tc>
        <w:tc>
          <w:tcPr/>
          <w:p>
            <w:pPr>
              <w:pStyle w:val="Compact"/>
              <w:jc w:val="left"/>
            </w:pPr>
            <w:r>
              <w:t xml:space="preserve">$650.00</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23</w:t>
            </w:r>
          </w:p>
        </w:tc>
        <w:tc>
          <w:tcPr/>
          <w:p>
            <w:pPr>
              <w:pStyle w:val="Compact"/>
              <w:jc w:val="left"/>
            </w:pPr>
            <w:r>
              <w:rPr>
                <w:bCs/>
                <w:b/>
              </w:rPr>
              <w:t xml:space="preserve">Post-Operative Consultation:</w:t>
            </w:r>
            <w:r>
              <w:t xml:space="preserve"> </w:t>
            </w:r>
            <w:r>
              <w:t xml:space="preserve">Follow-up appointment conducted on 22 October 2023 at the Collins Street Clinic in Melbourne. The surgeon reviewed the surgical site, assessed wound healing, removed sutures, and provided detailed instructions regarding post-operative rehabilitation and physiotherapy requirements.</w:t>
            </w:r>
          </w:p>
        </w:tc>
        <w:tc>
          <w:tcPr/>
          <w:p>
            <w:pPr>
              <w:pStyle w:val="Compact"/>
              <w:jc w:val="left"/>
            </w:pPr>
            <w:r>
              <w:t xml:space="preserve">$220.00</w:t>
            </w:r>
          </w:p>
        </w:tc>
        <w:tc>
          <w:tcPr/>
          <w:p>
            <w:pPr>
              <w:pStyle w:val="Compact"/>
              <w:jc w:val="left"/>
            </w:pPr>
            <w:r>
              <w:t xml:space="preserve">$85.00</w:t>
            </w:r>
          </w:p>
        </w:tc>
      </w:tr>
    </w:tbl>
    <w:p>
      <w:pPr>
        <w:pStyle w:val="BodyText"/>
      </w:pPr>
      <w:r>
        <w:t xml:space="preserve">Subtotal (Surgical Fees):</w:t>
      </w:r>
      <w:r>
        <w:t xml:space="preserve"> </w:t>
      </w:r>
      <w:r>
        <w:t xml:space="preserve">$2,920.00</w:t>
      </w:r>
    </w:p>
    <w:p>
      <w:pPr>
        <w:pStyle w:val="BodyText"/>
      </w:pPr>
      <w:r>
        <w:t xml:space="preserve">GST (10%):</w:t>
      </w:r>
      <w:r>
        <w:t xml:space="preserve"> </w:t>
      </w:r>
      <w:r>
        <w:t xml:space="preserve">$0.00</w:t>
      </w:r>
    </w:p>
    <w:p>
      <w:pPr>
        <w:pStyle w:val="BodyText"/>
      </w:pPr>
      <w:r>
        <w:rPr>
          <w:iCs/>
          <w:i/>
        </w:rPr>
        <w:t xml:space="preserve">Note: Medical services are GST-free under Australian Taxation Law.</w:t>
      </w:r>
      <w:r>
        <w:t xml:space="preserve"> </w:t>
      </w:r>
    </w:p>
    <w:p>
      <w:pPr>
        <w:pStyle w:val="BodyText"/>
      </w:pPr>
      <w:r>
        <w:t xml:space="preserve">TOTAL DUE (AUD):</w:t>
      </w:r>
      <w:r>
        <w:t xml:space="preserve"> </w:t>
      </w:r>
      <w:r>
        <w:t xml:space="preserve">$2,920.00</w:t>
      </w:r>
    </w:p>
    <w:bookmarkStart w:id="24" w:name="X8575a2c9c26227495824bee60b6b1afe83a3baf"/>
    <w:p>
      <w:pPr>
        <w:pStyle w:val="Heading5"/>
      </w:pPr>
      <w:r>
        <w:t xml:space="preserve">Payment Instructions &amp; Important Information:</w:t>
      </w:r>
    </w:p>
    <w:p>
      <w:pPr>
        <w:pStyle w:val="FirstParagraph"/>
      </w:pPr>
      <w:r>
        <w:rPr>
          <w:bCs/>
          <w:b/>
        </w:rPr>
        <w:t xml:space="preserve">Private Health Insurance:</w:t>
      </w:r>
      <w:r>
        <w:t xml:space="preserve"> </w:t>
      </w:r>
      <w:r>
        <w:t xml:space="preserve">Please present this invoice to your health fund for claim processing. As a member of the Private Health Insurance Rebate scheme, you may be eligible for a rebate on the MBS Schedule Fee portion of these charges. The "Gap" amount (the difference between the Surgeon's fee and the MBS Schedule Fee) is the patient's responsibility unless covered by your specific fund agreement.</w:t>
      </w:r>
    </w:p>
    <w:p>
      <w:pPr>
        <w:pStyle w:val="BodyText"/>
      </w:pPr>
      <w:r>
        <w:rPr>
          <w:bCs/>
          <w:b/>
        </w:rPr>
        <w:t xml:space="preserve">Bank Transfer Details:</w:t>
      </w:r>
      <w:r>
        <w:br/>
      </w:r>
      <w:r>
        <w:t xml:space="preserve">Bank: Commonwealth Bank of Australia</w:t>
      </w:r>
      <w:r>
        <w:br/>
      </w:r>
      <w:r>
        <w:t xml:space="preserve">Account Name: Sterling Surgical Practice</w:t>
      </w:r>
      <w:r>
        <w:br/>
      </w:r>
      <w:r>
        <w:t xml:space="preserve">BSB: 062-000</w:t>
      </w:r>
      <w:r>
        <w:br/>
      </w:r>
      <w:r>
        <w:t xml:space="preserve">Account Number: 12345678</w:t>
      </w:r>
      <w:r>
        <w:br/>
      </w:r>
      <w:r>
        <w:t xml:space="preserve">Reference: INV-2023-10-459</w:t>
      </w:r>
    </w:p>
    <w:p>
      <w:pPr>
        <w:pStyle w:val="BodyText"/>
      </w:pPr>
      <w:r>
        <w:rPr>
          <w:bCs/>
          <w:b/>
        </w:rPr>
        <w:t xml:space="preserve">Terms:</w:t>
      </w:r>
      <w:r>
        <w:t xml:space="preserve"> </w:t>
      </w:r>
      <w:r>
        <w:t xml:space="preserve">Payment is due within 30 days of the invoice date. Please contact our billing department in Melbourne if you have any queries regarding this invoice or your health fund rebate.</w:t>
      </w:r>
    </w:p>
    <w:bookmarkEnd w:id="24"/>
    <w:p>
      <w:pPr>
        <w:pStyle w:val="BodyText"/>
      </w:pPr>
      <w:r>
        <w:t xml:space="preserve">This document is a valid tax invoice for services rendered in Australia.</w:t>
      </w:r>
      <w:r>
        <w:br/>
      </w:r>
      <w:r>
        <w:t xml:space="preserve">Dr. Alexander Sterling is a registered medical practitioner with the Medical Board of Australia.</w:t>
      </w:r>
      <w:r>
        <w:br/>
      </w:r>
      <w:r>
        <w:t xml:space="preserve">Practice located in Melbourne, Victoria.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Melbourne, Australia</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