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1" w:name="dr.-alejandro-rivera-md-facs"/>
    <w:p>
      <w:pPr>
        <w:pStyle w:val="Heading1"/>
      </w:pPr>
      <w:r>
        <w:t xml:space="preserve">Dr. Alejandro Rivera, MD, FACS</w:t>
      </w:r>
    </w:p>
    <w:bookmarkStart w:id="20" w:name="X695e561d4d1f93b7f926325611782f810e5122c"/>
    <w:p>
      <w:pPr>
        <w:pStyle w:val="Heading2"/>
      </w:pPr>
      <w:r>
        <w:t xml:space="preserve">Board Certified Plastic &amp; Reconstructive Surgeon</w:t>
      </w:r>
    </w:p>
    <w:p>
      <w:pPr>
        <w:pStyle w:val="FirstParagraph"/>
      </w:pPr>
      <w:r>
        <w:t xml:space="preserve">Miami Center for Advanced Surgical Arts</w:t>
      </w:r>
      <w:r>
        <w:br/>
      </w:r>
      <w:r>
        <w:t xml:space="preserve">1000 Brickell Avenue, Suite 1400</w:t>
      </w:r>
      <w:r>
        <w:br/>
      </w:r>
      <w:r>
        <w:t xml:space="preserve">Miami, FL 33131</w:t>
      </w:r>
      <w:r>
        <w:br/>
      </w:r>
      <w:r>
        <w:t xml:space="preserve">United States</w:t>
      </w:r>
    </w:p>
    <w:p>
      <w:pPr>
        <w:pStyle w:val="BodyText"/>
      </w:pPr>
      <w:r>
        <w:t xml:space="preserve">Phone: (305) 555-0199</w:t>
      </w:r>
      <w:r>
        <w:br/>
      </w:r>
      <w:r>
        <w:t xml:space="preserve">Email: billing@miamisurgicalarts.com</w:t>
      </w:r>
      <w:r>
        <w:br/>
      </w:r>
      <w:r>
        <w:t xml:space="preserve">NPI: 1234567890 | FL MED LIC: ME12345678</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INV-2023-10-8842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Procedure Date:</w:t>
      </w:r>
      <w:r>
        <w:t xml:space="preserve"> </w:t>
      </w:r>
      <w:r>
        <w:t xml:space="preserve">October 15, 2023</w:t>
      </w:r>
    </w:p>
    <w:bookmarkEnd w:id="22"/>
    <w:bookmarkStart w:id="23" w:name="bill-to"/>
    <w:p>
      <w:pPr>
        <w:pStyle w:val="Heading4"/>
      </w:pPr>
      <w:r>
        <w:t xml:space="preserve">BILL TO:</w:t>
      </w:r>
    </w:p>
    <w:p>
      <w:pPr>
        <w:pStyle w:val="FirstParagraph"/>
      </w:pPr>
      <w:r>
        <w:rPr>
          <w:bCs/>
          <w:b/>
        </w:rPr>
        <w:t xml:space="preserve">Mr. Jonathan Sterling</w:t>
      </w:r>
      <w:r>
        <w:br/>
      </w:r>
      <w:r>
        <w:t xml:space="preserve">2400 Collins Avenue, Apt 5B</w:t>
      </w:r>
      <w:r>
        <w:br/>
      </w:r>
      <w:r>
        <w:t xml:space="preserve">Miami Beach, FL 33139</w:t>
      </w:r>
      <w:r>
        <w:br/>
      </w:r>
      <w:r>
        <w:t xml:space="preserve">United States</w:t>
      </w:r>
      <w:r>
        <w:br/>
      </w:r>
      <w:r>
        <w:t xml:space="preserve">Phone: (305) 555-0144</w:t>
      </w:r>
    </w:p>
    <w:bookmarkEnd w:id="23"/>
    <w:bookmarkStart w:id="24" w:name="patient-information"/>
    <w:p>
      <w:pPr>
        <w:pStyle w:val="Heading4"/>
      </w:pPr>
      <w:r>
        <w:t xml:space="preserve">PATIENT INFORMATION:</w:t>
      </w:r>
    </w:p>
    <w:p>
      <w:pPr>
        <w:pStyle w:val="FirstParagraph"/>
      </w:pPr>
      <w:r>
        <w:rPr>
          <w:bCs/>
          <w:b/>
        </w:rPr>
        <w:t xml:space="preserve">Name:</w:t>
      </w:r>
      <w:r>
        <w:t xml:space="preserve"> </w:t>
      </w:r>
      <w:r>
        <w:t xml:space="preserve">Jonathan Sterling</w:t>
      </w:r>
      <w:r>
        <w:br/>
      </w:r>
      <w:r>
        <w:rPr>
          <w:bCs/>
          <w:b/>
        </w:rPr>
        <w:t xml:space="preserve">Date of Birth:</w:t>
      </w:r>
      <w:r>
        <w:t xml:space="preserve"> </w:t>
      </w:r>
      <w:r>
        <w:t xml:space="preserve">05/12/1985</w:t>
      </w:r>
      <w:r>
        <w:br/>
      </w:r>
      <w:r>
        <w:rPr>
          <w:bCs/>
          <w:b/>
        </w:rPr>
        <w:t xml:space="preserve">Insurance Provider:</w:t>
      </w:r>
      <w:r>
        <w:t xml:space="preserve"> </w:t>
      </w:r>
      <w:r>
        <w:t xml:space="preserve">Blue Cross Blue Shield of Florida</w:t>
      </w:r>
      <w:r>
        <w:br/>
      </w:r>
      <w:r>
        <w:rPr>
          <w:bCs/>
          <w:b/>
        </w:rPr>
        <w:t xml:space="preserve">Policy Number:</w:t>
      </w:r>
      <w:r>
        <w:t xml:space="preserve"> </w:t>
      </w:r>
      <w:r>
        <w:t xml:space="preserve">BCBS-FL-99887766</w:t>
      </w:r>
      <w:r>
        <w:br/>
      </w:r>
      <w:r>
        <w:rPr>
          <w:bCs/>
          <w:b/>
        </w:rPr>
        <w:t xml:space="preserve">Group Number:</w:t>
      </w:r>
      <w:r>
        <w:t xml:space="preserve"> </w:t>
      </w:r>
      <w:r>
        <w:t xml:space="preserve">GRP-445566</w:t>
      </w:r>
    </w:p>
    <w:bookmarkEnd w:id="24"/>
    <w:p>
      <w:pPr>
        <w:pStyle w:val="BodyText"/>
      </w:pPr>
      <w:r>
        <w:t xml:space="preserve">DESCRIPTION OF SURGICAL SERVICES RENDERED IN MIAMI, FLORIDA</w:t>
      </w:r>
    </w:p>
    <w:p>
      <w:pPr>
        <w:pStyle w:val="BodyText"/>
      </w:pPr>
      <w:r>
        <w:t xml:space="preserve">The following invoice details the professional fees charged by the Surgeon for the surgical procedure, pre-operative consultations, and post-operative care provided at the Miami Center for Advanced Surgical Arts. All services were performed in accordance with the standards of the American Board of Surgery and local regulations within the United States.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CPT Code</w:t>
            </w:r>
          </w:p>
        </w:tc>
        <w:tc>
          <w:tcPr/>
          <w:p>
            <w:pPr>
              <w:pStyle w:val="Compact"/>
              <w:jc w:val="left"/>
            </w:pPr>
            <w:r>
              <w:t xml:space="preserve">Date</w:t>
            </w:r>
          </w:p>
        </w:tc>
        <w:tc>
          <w:tcPr/>
          <w:p>
            <w:pPr>
              <w:pStyle w:val="Compact"/>
              <w:jc w:val="left"/>
            </w:pPr>
            <w:r>
              <w:t xml:space="preserve">Unit Price</w:t>
            </w:r>
          </w:p>
        </w:tc>
        <w:tc>
          <w:tcPr/>
          <w:p>
            <w:pPr>
              <w:pStyle w:val="Compact"/>
              <w:jc w:val="left"/>
            </w:pPr>
            <w:r>
              <w:t xml:space="preserve">Total Amount</w:t>
            </w:r>
          </w:p>
        </w:tc>
      </w:tr>
      <w:tr>
        <w:tc>
          <w:tcPr/>
          <w:p>
            <w:pPr>
              <w:pStyle w:val="Compact"/>
              <w:jc w:val="left"/>
            </w:pPr>
            <w:r>
              <w:t xml:space="preserve">1</w:t>
            </w:r>
          </w:p>
        </w:tc>
        <w:tc>
          <w:tcPr/>
          <w:p>
            <w:pPr>
              <w:pStyle w:val="Compact"/>
              <w:jc w:val="left"/>
            </w:pPr>
            <w:r>
              <w:rPr>
                <w:bCs/>
                <w:b/>
              </w:rPr>
              <w:t xml:space="preserve">Pre-Operative Consultation &amp; Surgical Planning</w:t>
            </w:r>
            <w:r>
              <w:br/>
            </w:r>
            <w:r>
              <w:t xml:space="preserve">CPT 99244 - Office/Outpatient Consultation</w:t>
            </w:r>
            <w:r>
              <w:br/>
            </w:r>
            <w:r>
              <w:t xml:space="preserve">Comprehensive evaluation of patient history, physical examination, and surgical risk assessment conducted in Miami.</w:t>
            </w:r>
          </w:p>
        </w:tc>
        <w:tc>
          <w:tcPr/>
          <w:p>
            <w:pPr>
              <w:pStyle w:val="Compact"/>
              <w:jc w:val="left"/>
            </w:pPr>
            <w:r>
              <w:t xml:space="preserve">09/20/2023</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Primary Surgical Procedure: Abdominoplasty</w:t>
            </w:r>
            <w:r>
              <w:br/>
            </w:r>
            <w:r>
              <w:t xml:space="preserve">CPT 15830 - Abdominoplasty</w:t>
            </w:r>
            <w:r>
              <w:br/>
            </w:r>
            <w:r>
              <w:t xml:space="preserve">Surgical removal of excess skin and fat from the abdomen, tightening of abdominal muscles. Performed by Dr. Rivera.</w:t>
            </w:r>
          </w:p>
        </w:tc>
        <w:tc>
          <w:tcPr/>
          <w:p>
            <w:pPr>
              <w:pStyle w:val="Compact"/>
              <w:jc w:val="left"/>
            </w:pPr>
            <w:r>
              <w:t xml:space="preserve">10/15/2023</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Secondary Procedure: Liposuction (Trunk)</w:t>
            </w:r>
            <w:r>
              <w:br/>
            </w:r>
            <w:r>
              <w:t xml:space="preserve">CPT 15876 - Liposuction, trunk</w:t>
            </w:r>
            <w:r>
              <w:br/>
            </w:r>
            <w:r>
              <w:t xml:space="preserve">Suction assisted lipectomy performed concurrently with the primary procedure.</w:t>
            </w:r>
          </w:p>
        </w:tc>
        <w:tc>
          <w:tcPr/>
          <w:p>
            <w:pPr>
              <w:pStyle w:val="Compact"/>
              <w:jc w:val="left"/>
            </w:pPr>
            <w:r>
              <w:t xml:space="preserve">10/15/2023</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rPr>
                <w:bCs/>
                <w:b/>
              </w:rPr>
              <w:t xml:space="preserve">Global Post-Operative Care Package</w:t>
            </w:r>
            <w:r>
              <w:br/>
            </w:r>
            <w:r>
              <w:t xml:space="preserve">Includes 90-day follow-up</w:t>
            </w:r>
            <w:r>
              <w:br/>
            </w:r>
            <w:r>
              <w:t xml:space="preserve">Includes all scheduled follow-up visits, wound checks, suture removal, and management of complications within the global period.</w:t>
            </w:r>
          </w:p>
        </w:tc>
        <w:tc>
          <w:tcPr/>
          <w:p>
            <w:pPr>
              <w:pStyle w:val="Compact"/>
              <w:jc w:val="left"/>
            </w:pPr>
            <w:r>
              <w:t xml:space="preserve">10/15/2023</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Medical Supplies &amp; Garments</w:t>
            </w:r>
            <w:r>
              <w:br/>
            </w:r>
            <w:r>
              <w:t xml:space="preserve">Non-CPT / Out of Pocket</w:t>
            </w:r>
            <w:r>
              <w:br/>
            </w:r>
            <w:r>
              <w:t xml:space="preserve">Compression garments, surgical drains, and specialized dressings provided by the clinic.</w:t>
            </w:r>
          </w:p>
        </w:tc>
        <w:tc>
          <w:tcPr/>
          <w:p>
            <w:pPr>
              <w:pStyle w:val="Compact"/>
              <w:jc w:val="left"/>
            </w:pPr>
            <w:r>
              <w:t xml:space="preserve">10/15/2023</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$12,700.00</w:t>
            </w:r>
          </w:p>
        </w:tc>
      </w:tr>
      <w:tr>
        <w:tc>
          <w:tcPr/>
          <w:p>
            <w:pPr>
              <w:pStyle w:val="Compact"/>
              <w:jc w:val="left"/>
            </w:pPr>
            <w:r>
              <w:t xml:space="preserve">Insurance Adjustment (Est.):</w:t>
            </w:r>
          </w:p>
        </w:tc>
        <w:tc>
          <w:tcPr/>
          <w:p>
            <w:pPr>
              <w:pStyle w:val="Compact"/>
              <w:jc w:val="left"/>
            </w:pPr>
            <w:r>
              <w:t xml:space="preserve">-$4,500.00</w:t>
            </w:r>
          </w:p>
        </w:tc>
      </w:tr>
      <w:tr>
        <w:tc>
          <w:tcPr/>
          <w:p>
            <w:pPr>
              <w:pStyle w:val="Compact"/>
              <w:jc w:val="left"/>
            </w:pPr>
            <w:r>
              <w:t xml:space="preserve">Patient Responsibility:</w:t>
            </w:r>
          </w:p>
        </w:tc>
        <w:tc>
          <w:tcPr/>
          <w:p>
            <w:pPr>
              <w:pStyle w:val="Compact"/>
              <w:jc w:val="left"/>
            </w:pPr>
            <w:r>
              <w:t xml:space="preserve">$8,200.00</w:t>
            </w:r>
          </w:p>
        </w:tc>
      </w:tr>
      <w:tr>
        <w:tc>
          <w:tcPr/>
          <w:p>
            <w:pPr>
              <w:pStyle w:val="Compact"/>
              <w:jc w:val="left"/>
            </w:pPr>
            <w:r>
              <w:t xml:space="preserve">Less: Deposit Paid (09/20/2023):</w:t>
            </w:r>
          </w:p>
        </w:tc>
        <w:tc>
          <w:tcPr/>
          <w:p>
            <w:pPr>
              <w:pStyle w:val="Compact"/>
              <w:jc w:val="left"/>
            </w:pPr>
            <w:r>
              <w:t xml:space="preserve">-$2,000.00</w:t>
            </w:r>
          </w:p>
        </w:tc>
      </w:tr>
      <w:tr>
        <w:tc>
          <w:tcPr/>
          <w:p>
            <w:pPr>
              <w:pStyle w:val="Compact"/>
              <w:jc w:val="left"/>
            </w:pPr>
            <w:r>
              <w:t xml:space="preserve">TOTAL DUE:</w:t>
            </w:r>
          </w:p>
        </w:tc>
        <w:tc>
          <w:tcPr/>
          <w:p>
            <w:pPr>
              <w:pStyle w:val="Compact"/>
              <w:jc w:val="left"/>
            </w:pPr>
            <w:r>
              <w:t xml:space="preserve">$6,200.00</w:t>
            </w:r>
          </w:p>
        </w:tc>
      </w:tr>
    </w:tbl>
    <w:bookmarkStart w:id="25" w:name="payment-terms-important-information"/>
    <w:p>
      <w:pPr>
        <w:pStyle w:val="Heading4"/>
      </w:pPr>
      <w:r>
        <w:t xml:space="preserve">Payment Terms &amp; Important Information:</w:t>
      </w:r>
    </w:p>
    <w:p>
      <w:pPr>
        <w:numPr>
          <w:ilvl w:val="0"/>
          <w:numId w:val="1001"/>
        </w:numPr>
        <w:pStyle w:val="Compact"/>
      </w:pPr>
      <w:r>
        <w:rPr>
          <w:bCs/>
          <w:b/>
        </w:rPr>
        <w:t xml:space="preserve">Currency:</w:t>
      </w:r>
      <w:r>
        <w:t xml:space="preserve"> </w:t>
      </w:r>
      <w:r>
        <w:t xml:space="preserve">All amounts are listed in United States Dollars (USD).</w:t>
      </w:r>
    </w:p>
    <w:p>
      <w:pPr>
        <w:numPr>
          <w:ilvl w:val="0"/>
          <w:numId w:val="1001"/>
        </w:numPr>
        <w:pStyle w:val="Compact"/>
      </w:pPr>
      <w:r>
        <w:rPr>
          <w:bCs/>
          <w:b/>
        </w:rPr>
        <w:t xml:space="preserve">Due Date:</w:t>
      </w:r>
      <w:r>
        <w:t xml:space="preserve"> </w:t>
      </w:r>
      <w:r>
        <w:t xml:space="preserve">Payment is due within 30 days of the invoice date. Late payments may incur a 1.5% monthly interest charge.</w:t>
      </w:r>
    </w:p>
    <w:p>
      <w:pPr>
        <w:numPr>
          <w:ilvl w:val="0"/>
          <w:numId w:val="1001"/>
        </w:numPr>
        <w:pStyle w:val="Compact"/>
      </w:pPr>
      <w:r>
        <w:rPr>
          <w:bCs/>
          <w:b/>
        </w:rPr>
        <w:t xml:space="preserve">Accepted Payment Methods:</w:t>
      </w:r>
      <w:r>
        <w:t xml:space="preserve"> </w:t>
      </w:r>
      <w:r>
        <w:t xml:space="preserve">We accept Visa, MasterCard, American Express, Discover, Cashier's Checks, and Wire Transfers. Personal checks are accepted only from local Miami-Dade County banks.</w:t>
      </w:r>
    </w:p>
    <w:p>
      <w:pPr>
        <w:numPr>
          <w:ilvl w:val="0"/>
          <w:numId w:val="1001"/>
        </w:numPr>
        <w:pStyle w:val="Compact"/>
      </w:pPr>
      <w:r>
        <w:rPr>
          <w:bCs/>
          <w:b/>
        </w:rPr>
        <w:t xml:space="preserve">Insurance:</w:t>
      </w:r>
      <w:r>
        <w:t xml:space="preserve"> </w:t>
      </w:r>
      <w:r>
        <w:t xml:space="preserve">This invoice represents the Surgeon's professional fees. Facility fees and Anesthesiologist fees are billed separately by their respective providers.</w:t>
      </w:r>
    </w:p>
    <w:p>
      <w:pPr>
        <w:numPr>
          <w:ilvl w:val="0"/>
          <w:numId w:val="1001"/>
        </w:numPr>
        <w:pStyle w:val="Compact"/>
      </w:pPr>
      <w:r>
        <w:rPr>
          <w:bCs/>
          <w:b/>
        </w:rPr>
        <w:t xml:space="preserve">Disputes:</w:t>
      </w:r>
      <w:r>
        <w:t xml:space="preserve"> </w:t>
      </w:r>
      <w:r>
        <w:t xml:space="preserve">Please contact our billing department at (305) 555-0199 within 10 days if you have any questions regarding this invoice.</w:t>
      </w:r>
    </w:p>
    <w:p>
      <w:pPr>
        <w:numPr>
          <w:ilvl w:val="0"/>
          <w:numId w:val="1001"/>
        </w:numPr>
        <w:pStyle w:val="Compact"/>
      </w:pPr>
      <w:r>
        <w:rPr>
          <w:bCs/>
          <w:b/>
        </w:rPr>
        <w:t xml:space="preserve">Privacy:</w:t>
      </w:r>
      <w:r>
        <w:t xml:space="preserve"> </w:t>
      </w:r>
      <w:r>
        <w:t xml:space="preserve">In compliance with HIPAA regulations, this document contains protected health information. Please dispose of it securely.</w:t>
      </w:r>
    </w:p>
    <w:bookmarkEnd w:id="25"/>
    <w:p>
      <w:pPr>
        <w:pStyle w:val="FirstParagraph"/>
      </w:pPr>
      <w:r>
        <w:rPr>
          <w:bCs/>
          <w:b/>
        </w:rPr>
        <w:t xml:space="preserve">Authorized Signature (Surgeon)</w:t>
      </w:r>
      <w:r>
        <w:br/>
      </w:r>
      <w:r>
        <w:t xml:space="preserve">Dr. Alejandro Rivera, MD</w:t>
      </w:r>
      <w:r>
        <w:br/>
      </w:r>
      <w:r>
        <w:t xml:space="preserve">Date: 10/24/2023</w:t>
      </w:r>
    </w:p>
    <w:p>
      <w:pPr>
        <w:pStyle w:val="BodyText"/>
      </w:pPr>
      <w:r>
        <w:rPr>
          <w:bCs/>
          <w:b/>
        </w:rPr>
        <w:t xml:space="preserve">Patient Signature (Acknowledgement)</w:t>
      </w:r>
      <w:r>
        <w:br/>
      </w:r>
      <w:r>
        <w:t xml:space="preserve">__________________________</w:t>
      </w:r>
      <w:r>
        <w:br/>
      </w:r>
      <w:r>
        <w:t xml:space="preserve">Date: ____________________</w:t>
      </w:r>
    </w:p>
    <w:p>
      <w:pPr>
        <w:pStyle w:val="BodyText"/>
      </w:pPr>
      <w:r>
        <w:t xml:space="preserve">Miami Center for Advanced Surgical Arts | 1000 Brickell Avenue, Suite 1400, Miami, FL 33131, United States</w:t>
      </w:r>
      <w:r>
        <w:br/>
      </w:r>
      <w:r>
        <w:t xml:space="preserve">This invoice is a computer-generated document and does not require a physical signature to be valid.</w:t>
      </w:r>
      <w:r>
        <w:br/>
      </w:r>
      <w:r>
        <w:t xml:space="preserve">© 2023 Dr. Alejandro Rivera, MD.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Miami, United States</dc:title>
  <dc:creator/>
  <dc:language>en</dc:language>
  <cp:keywords/>
  <dcterms:created xsi:type="dcterms:W3CDTF">2026-10-10T07:32:49Z</dcterms:created>
  <dcterms:modified xsi:type="dcterms:W3CDTF">2026-10-10T07:32:49Z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