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bookmarkStart w:id="20" w:name="tech-solutions-bogotá-s.a.s."/>
    <w:p>
      <w:pPr>
        <w:pStyle w:val="Heading1"/>
      </w:pPr>
      <w:r>
        <w:t xml:space="preserve">TECH SOLUTIONS BOGOTÁ S.A.S.</w:t>
      </w:r>
    </w:p>
    <w:p>
      <w:pPr>
        <w:pStyle w:val="FirstParagraph"/>
      </w:pPr>
      <w:r>
        <w:rPr>
          <w:bCs/>
          <w:b/>
        </w:rPr>
        <w:t xml:space="preserve">Systems Engineering &amp; IT Consulting</w:t>
      </w:r>
    </w:p>
    <w:p>
      <w:pPr>
        <w:pStyle w:val="BodyText"/>
      </w:pPr>
      <w:r>
        <w:t xml:space="preserve">Calle 100 #19-22, Oficina 501</w:t>
      </w:r>
    </w:p>
    <w:p>
      <w:pPr>
        <w:pStyle w:val="BodyText"/>
      </w:pPr>
      <w:r>
        <w:t xml:space="preserve">Local 11, Bogotá D.C., Colombia</w:t>
      </w:r>
    </w:p>
    <w:p>
      <w:pPr>
        <w:pStyle w:val="BodyText"/>
      </w:pPr>
      <w:r>
        <w:t xml:space="preserve">NIT: 900.123.456-7</w:t>
      </w:r>
    </w:p>
    <w:p>
      <w:pPr>
        <w:pStyle w:val="BodyText"/>
      </w:pPr>
      <w:r>
        <w:t xml:space="preserve">Email: billing@techsolutionsbogota.com.co</w:t>
      </w:r>
    </w:p>
    <w:p>
      <w:pPr>
        <w:pStyle w:val="BodyText"/>
      </w:pPr>
      <w:r>
        <w:t xml:space="preserve">Phone: +57 (1) 234 5678</w:t>
      </w:r>
    </w:p>
    <w:bookmarkEnd w:id="20"/>
    <w:bookmarkStart w:id="21" w:name="invoice"/>
    <w:p>
      <w:pPr>
        <w:pStyle w:val="Heading2"/>
      </w:pPr>
      <w:r>
        <w:t xml:space="preserve">INVOICE</w:t>
      </w:r>
    </w:p>
    <w:p>
      <w:pPr>
        <w:pStyle w:val="FirstParagraph"/>
      </w:pPr>
      <w:r>
        <w:t xml:space="preserve">Invoice #: INV-2023-089</w:t>
      </w:r>
    </w:p>
    <w:p>
      <w:pPr>
        <w:pStyle w:val="BodyText"/>
      </w:pPr>
      <w:r>
        <w:t xml:space="preserve">Date: October 24, 2023</w:t>
      </w:r>
    </w:p>
    <w:p>
      <w:pPr>
        <w:pStyle w:val="BodyText"/>
      </w:pPr>
      <w:r>
        <w:t xml:space="preserve">Due Date: November 24, 2023</w:t>
      </w:r>
    </w:p>
    <w:p>
      <w:pPr>
        <w:pStyle w:val="BodyText"/>
      </w:pPr>
      <w:r>
        <w:t xml:space="preserve">TAX INVOICE</w:t>
      </w:r>
    </w:p>
    <w:bookmarkEnd w:id="21"/>
    <w:bookmarkStart w:id="22" w:name="bill-to"/>
    <w:p>
      <w:pPr>
        <w:pStyle w:val="Heading3"/>
      </w:pPr>
      <w:r>
        <w:t xml:space="preserve">Bill To:</w:t>
      </w:r>
    </w:p>
    <w:p>
      <w:pPr>
        <w:pStyle w:val="FirstParagraph"/>
      </w:pPr>
      <w:r>
        <w:rPr>
          <w:bCs/>
          <w:b/>
        </w:rPr>
        <w:t xml:space="preserve">Global Logistics Corp. Colombia</w:t>
      </w:r>
    </w:p>
    <w:p>
      <w:pPr>
        <w:pStyle w:val="BodyText"/>
      </w:pPr>
      <w:r>
        <w:t xml:space="preserve">Attn: Procurement Department</w:t>
      </w:r>
    </w:p>
    <w:p>
      <w:pPr>
        <w:pStyle w:val="BodyText"/>
      </w:pPr>
      <w:r>
        <w:t xml:space="preserve">Autopista Norte Km 14.5</w:t>
      </w:r>
    </w:p>
    <w:p>
      <w:pPr>
        <w:pStyle w:val="BodyText"/>
      </w:pPr>
      <w:r>
        <w:t xml:space="preserve">Bogotá D.C., Colombia</w:t>
      </w:r>
    </w:p>
    <w:p>
      <w:pPr>
        <w:pStyle w:val="BodyText"/>
      </w:pPr>
      <w:r>
        <w:t xml:space="preserve">NIT: 800.987.654-3</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Systems Engineering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Infrastructure Architecture Design:</w:t>
            </w:r>
            <w:r>
              <w:t xml:space="preserve"> </w:t>
            </w:r>
            <w:r>
              <w:t xml:space="preserve">Comprehensive analysis and design of the client's on-premise and cloud hybrid infrastructure. This service includes the mapping of current network topologies in Bogotá data centers, identification of bottlenecks, and the creation of a scalable architecture blueprint compliant with international ISO/IEC 27001 standards.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Cloud Migration Strategy &amp; Implementation:</w:t>
            </w:r>
            <w:r>
              <w:t xml:space="preserve"> </w:t>
            </w:r>
            <w:r>
              <w:t xml:space="preserve">Execution of the migration of legacy ERP systems to AWS infrastructure. This involves containerization using Docker and Kubernetes orchestration to ensure high availability. The Systems Engineer team managed the data transfer, latency optimization for Colombian users, and security group configurations to protect sensitive corporate data.</w:t>
            </w:r>
          </w:p>
        </w:tc>
        <w:tc>
          <w:tcPr/>
          <w:p>
            <w:pPr>
              <w:pStyle w:val="Compact"/>
              <w:jc w:val="left"/>
            </w:pPr>
            <w:r>
              <w:t xml:space="preserve">40</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3</w:t>
            </w:r>
          </w:p>
        </w:tc>
        <w:tc>
          <w:tcPr/>
          <w:p>
            <w:pPr>
              <w:pStyle w:val="Compact"/>
              <w:jc w:val="left"/>
            </w:pPr>
            <w:r>
              <w:rPr>
                <w:bCs/>
                <w:b/>
              </w:rPr>
              <w:t xml:space="preserve">DevOps Pipeline Automation:</w:t>
            </w:r>
            <w:r>
              <w:t xml:space="preserve"> </w:t>
            </w:r>
            <w:r>
              <w:t xml:space="preserve">Development and deployment of CI/CD pipelines using Jenkins and GitLab. This service streamlines the software delivery process, reducing deployment time by 60%. Includes configuration of automated testing suites and infrastructure-as-code (IaC) scripts using Terraform to manage resource provisioning efficiently.</w:t>
            </w:r>
          </w:p>
        </w:tc>
        <w:tc>
          <w:tcPr/>
          <w:p>
            <w:pPr>
              <w:pStyle w:val="Compact"/>
              <w:jc w:val="left"/>
            </w:pPr>
            <w:r>
              <w:t xml:space="preserve">25</w:t>
            </w:r>
          </w:p>
        </w:tc>
        <w:tc>
          <w:tcPr/>
          <w:p>
            <w:pPr>
              <w:pStyle w:val="Compact"/>
              <w:jc w:val="left"/>
            </w:pPr>
            <w:r>
              <w:t xml:space="preserve">380,000</w:t>
            </w:r>
          </w:p>
        </w:tc>
        <w:tc>
          <w:tcPr/>
          <w:p>
            <w:pPr>
              <w:pStyle w:val="Compact"/>
              <w:jc w:val="left"/>
            </w:pPr>
            <w:r>
              <w:t xml:space="preserve">9,500,000</w:t>
            </w:r>
          </w:p>
        </w:tc>
      </w:tr>
      <w:tr>
        <w:tc>
          <w:tcPr/>
          <w:p>
            <w:pPr>
              <w:pStyle w:val="Compact"/>
              <w:jc w:val="left"/>
            </w:pPr>
            <w:r>
              <w:t xml:space="preserve">4</w:t>
            </w:r>
          </w:p>
        </w:tc>
        <w:tc>
          <w:tcPr/>
          <w:p>
            <w:pPr>
              <w:pStyle w:val="Compact"/>
              <w:jc w:val="left"/>
            </w:pPr>
            <w:r>
              <w:rPr>
                <w:bCs/>
                <w:b/>
              </w:rPr>
              <w:t xml:space="preserve">Network Security Audit &amp; Hardening:</w:t>
            </w:r>
            <w:r>
              <w:t xml:space="preserve"> </w:t>
            </w:r>
            <w:r>
              <w:t xml:space="preserve">A rigorous security assessment of the corporate network perimeter. The Systems Engineer performed vulnerability scanning, penetration testing, and firewall rule optimization. Recommendations were implemented to mitigate risks associated with ransomware and DDoS attacks, ensuring compliance with local Colombian data protection regulations.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rPr>
                <w:bCs/>
                <w:b/>
              </w:rPr>
              <w:t xml:space="preserve">Technical Documentation &amp; Training:</w:t>
            </w:r>
            <w:r>
              <w:t xml:space="preserve"> </w:t>
            </w:r>
            <w:r>
              <w:t xml:space="preserve">Creation of detailed technical documentation for all implemented systems, including network diagrams, API references, and disaster recovery plans. Additionally, a 4-hour workshop was conducted for the internal IT staff in Bogotá to ensure knowledge transfer and operational continuity.</w:t>
            </w:r>
          </w:p>
        </w:tc>
        <w:tc>
          <w:tcPr/>
          <w:p>
            <w:pPr>
              <w:pStyle w:val="Compact"/>
              <w:jc w:val="left"/>
            </w:pPr>
            <w:r>
              <w:t xml:space="preserve">1</w:t>
            </w:r>
          </w:p>
        </w:tc>
        <w:tc>
          <w:tcPr/>
          <w:p>
            <w:pPr>
              <w:pStyle w:val="Compact"/>
              <w:jc w:val="left"/>
            </w:pPr>
            <w:r>
              <w:t xml:space="preserve">4,000,000</w:t>
            </w:r>
          </w:p>
        </w:tc>
        <w:tc>
          <w:tcPr/>
          <w:p>
            <w:pPr>
              <w:pStyle w:val="Compact"/>
              <w:jc w:val="left"/>
            </w:pPr>
            <w:r>
              <w:t xml:space="preserve">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$55,000,000</w:t>
            </w:r>
          </w:p>
        </w:tc>
      </w:tr>
      <w:tr>
        <w:tc>
          <w:tcPr/>
          <w:p>
            <w:pPr>
              <w:pStyle w:val="Compact"/>
              <w:jc w:val="left"/>
            </w:pPr>
            <w:r>
              <w:t xml:space="preserve">VAT (19% IVA):</w:t>
            </w:r>
          </w:p>
        </w:tc>
        <w:tc>
          <w:tcPr/>
          <w:p>
            <w:pPr>
              <w:pStyle w:val="Compact"/>
              <w:jc w:val="left"/>
            </w:pPr>
            <w:r>
              <w:t xml:space="preserve">$10,450,000</w:t>
            </w:r>
          </w:p>
        </w:tc>
      </w:tr>
      <w:tr>
        <w:tc>
          <w:tcPr/>
          <w:p>
            <w:pPr>
              <w:pStyle w:val="Compact"/>
              <w:jc w:val="left"/>
            </w:pPr>
            <w:r>
              <w:t xml:space="preserve">TOTAL DUE:</w:t>
            </w:r>
          </w:p>
        </w:tc>
        <w:tc>
          <w:tcPr/>
          <w:p>
            <w:pPr>
              <w:pStyle w:val="Compact"/>
              <w:jc w:val="left"/>
            </w:pPr>
            <w:r>
              <w:t xml:space="preserve">$65,450,000</w:t>
            </w:r>
          </w:p>
        </w:tc>
      </w:tr>
    </w:tbl>
    <w:bookmarkStart w:id="23" w:name="payment-terms-banking-information"/>
    <w:p>
      <w:pPr>
        <w:pStyle w:val="Heading4"/>
      </w:pPr>
      <w:r>
        <w:t xml:space="preserve">Payment Terms &amp; Banking Information</w:t>
      </w:r>
    </w:p>
    <w:p>
      <w:pPr>
        <w:pStyle w:val="FirstParagraph"/>
      </w:pPr>
      <w:r>
        <w:rPr>
          <w:bCs/>
          <w:b/>
        </w:rPr>
        <w:t xml:space="preserve">Payment Method:</w:t>
      </w:r>
      <w:r>
        <w:t xml:space="preserve"> </w:t>
      </w:r>
      <w:r>
        <w:t xml:space="preserve">Bank Transfer (Transferencia Bancaria)</w:t>
      </w:r>
    </w:p>
    <w:p>
      <w:pPr>
        <w:pStyle w:val="BodyText"/>
      </w:pPr>
      <w:r>
        <w:rPr>
          <w:bCs/>
          <w:b/>
        </w:rPr>
        <w:t xml:space="preserve">Bank:</w:t>
      </w:r>
      <w:r>
        <w:t xml:space="preserve"> </w:t>
      </w:r>
      <w:r>
        <w:t xml:space="preserve">Bancolombia</w:t>
      </w:r>
    </w:p>
    <w:p>
      <w:pPr>
        <w:pStyle w:val="BodyText"/>
      </w:pPr>
      <w:r>
        <w:rPr>
          <w:bCs/>
          <w:b/>
        </w:rPr>
        <w:t xml:space="preserve">Account Type:</w:t>
      </w:r>
      <w:r>
        <w:t xml:space="preserve"> </w:t>
      </w:r>
      <w:r>
        <w:t xml:space="preserve">Checking (Cuenta de Ahorros)</w:t>
      </w:r>
    </w:p>
    <w:p>
      <w:pPr>
        <w:pStyle w:val="BodyText"/>
      </w:pPr>
      <w:r>
        <w:rPr>
          <w:bCs/>
          <w:b/>
        </w:rPr>
        <w:t xml:space="preserve">Account Number:</w:t>
      </w:r>
      <w:r>
        <w:t xml:space="preserve"> </w:t>
      </w:r>
      <w:r>
        <w:t xml:space="preserve">123-456789-00</w:t>
      </w:r>
    </w:p>
    <w:p>
      <w:pPr>
        <w:pStyle w:val="BodyText"/>
      </w:pPr>
      <w:r>
        <w:rPr>
          <w:bCs/>
          <w:b/>
        </w:rPr>
        <w:t xml:space="preserve">Reference:</w:t>
      </w:r>
      <w:r>
        <w:t xml:space="preserve"> </w:t>
      </w:r>
      <w:r>
        <w:t xml:space="preserve">INV-2023-089</w:t>
      </w:r>
    </w:p>
    <w:p>
      <w:pPr>
        <w:pStyle w:val="BodyText"/>
      </w:pPr>
      <w:r>
        <w:br/>
      </w:r>
    </w:p>
    <w:p>
      <w:pPr>
        <w:pStyle w:val="BodyText"/>
      </w:pPr>
      <w:r>
        <w:rPr>
          <w:bCs/>
          <w:b/>
        </w:rPr>
        <w:t xml:space="preserve">Terms:</w:t>
      </w:r>
      <w:r>
        <w:t xml:space="preserve"> </w:t>
      </w:r>
      <w:r>
        <w:t xml:space="preserve">Payment is due within 30 days from the date of this invoice. Late payments may incur a penalty interest rate of 1.5% per month, in accordance with Colombian commercial law. Please ensure the reference number is included in the transfer description to facilitate reconciliation.</w:t>
      </w:r>
    </w:p>
    <w:p>
      <w:pPr>
        <w:pStyle w:val="BodyText"/>
      </w:pPr>
      <w:r>
        <w:br/>
      </w:r>
    </w:p>
    <w:bookmarkEnd w:id="23"/>
    <w:bookmarkStart w:id="24" w:name="service-scope-compliance"/>
    <w:p>
      <w:pPr>
        <w:pStyle w:val="Heading4"/>
      </w:pPr>
      <w:r>
        <w:t xml:space="preserve">Service Scope &amp; Compliance</w:t>
      </w:r>
    </w:p>
    <w:p>
      <w:pPr>
        <w:pStyle w:val="FirstParagraph"/>
      </w:pPr>
      <w:r>
        <w:t xml:space="preserve">This invoice reflects professional services rendered by certified Systems Engineers specializing in enterprise architecture, cloud computing, and cybersecurity. All services were performed in compliance with the technical standards required for operations in Bogotá, Colombia. The deliverables include full intellectual property rights transfer upon final payment. This document serves as a valid tax invoice for VAT deduction purposes under the Colombian tax regime.</w:t>
      </w:r>
    </w:p>
    <w:bookmarkEnd w:id="24"/>
    <w:p>
      <w:pPr>
        <w:pStyle w:val="BodyText"/>
      </w:pPr>
      <w:r>
        <w:t xml:space="preserve">Thank you for your business. We appreciate your trust in our Systems Engineering expertise.</w:t>
      </w:r>
    </w:p>
    <w:p>
      <w:pPr>
        <w:pStyle w:val="BodyText"/>
      </w:pPr>
      <w:r>
        <w:t xml:space="preserve">Tech Solutions Bogotá S.A.S. | Calle 100 #19-22, Bogotá D.C., Colombia | NIT: 900.123.456-7</w:t>
      </w:r>
    </w:p>
    <w:p>
      <w:pPr>
        <w:pStyle w:val="BodyText"/>
      </w:pP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2026-10-10T02:32:31Z</dcterms:created>
  <dcterms:modified xsi:type="dcterms:W3CDTF">2026-10-10T02:32:31Z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