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Systems</w:t>
      </w:r>
      <w:r>
        <w:t xml:space="preserve"> </w:t>
      </w:r>
      <w:r>
        <w:t xml:space="preserve">Engineering</w:t>
      </w:r>
      <w:r>
        <w:t xml:space="preserve"> </w:t>
      </w:r>
      <w:r>
        <w:t xml:space="preserve">Services</w:t>
      </w:r>
    </w:p>
    <w:bookmarkStart w:id="20" w:name="tehran-systems-engineering-solutions"/>
    <w:p>
      <w:pPr>
        <w:pStyle w:val="Heading1"/>
      </w:pPr>
      <w:r>
        <w:t xml:space="preserve">TEHRAN SYSTEMS ENGINEERING SOLUTIONS</w:t>
      </w:r>
    </w:p>
    <w:p>
      <w:pPr>
        <w:pStyle w:val="FirstParagraph"/>
      </w:pPr>
      <w:r>
        <w:rPr>
          <w:bCs/>
          <w:b/>
        </w:rPr>
        <w:t xml:space="preserve">Address:</w:t>
      </w:r>
      <w:r>
        <w:t xml:space="preserve"> </w:t>
      </w:r>
      <w:r>
        <w:t xml:space="preserve">No. 42, Valiasr Street, Enghelab Square, Tehran, Iran</w:t>
      </w:r>
    </w:p>
    <w:p>
      <w:pPr>
        <w:pStyle w:val="BodyText"/>
      </w:pPr>
      <w:r>
        <w:rPr>
          <w:bCs/>
          <w:b/>
        </w:rPr>
        <w:t xml:space="preserve">Phone:</w:t>
      </w:r>
      <w:r>
        <w:t xml:space="preserve"> </w:t>
      </w:r>
      <w:r>
        <w:t xml:space="preserve">+98 21 8888 9999</w:t>
      </w:r>
    </w:p>
    <w:p>
      <w:pPr>
        <w:pStyle w:val="BodyText"/>
      </w:pPr>
      <w:r>
        <w:rPr>
          <w:bCs/>
          <w:b/>
        </w:rPr>
        <w:t xml:space="preserve">Email:</w:t>
      </w:r>
      <w:r>
        <w:t xml:space="preserve"> </w:t>
      </w:r>
      <w:r>
        <w:t xml:space="preserve">billing@tehransystems.ir</w:t>
      </w:r>
    </w:p>
    <w:p>
      <w:pPr>
        <w:pStyle w:val="BodyText"/>
      </w:pPr>
      <w:r>
        <w:rPr>
          <w:bCs/>
          <w:b/>
        </w:rPr>
        <w:t xml:space="preserve">Tax ID:</w:t>
      </w:r>
      <w:r>
        <w:t xml:space="preserve"> </w:t>
      </w:r>
      <w:r>
        <w:t xml:space="preserve">10109876543210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INV-IR-2023-0045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Parsian Industrial Group</w:t>
      </w:r>
    </w:p>
    <w:p>
      <w:pPr>
        <w:pStyle w:val="BodyText"/>
      </w:pPr>
      <w:r>
        <w:rPr>
          <w:bCs/>
          <w:b/>
        </w:rPr>
        <w:t xml:space="preserve">Attn:</w:t>
      </w:r>
      <w:r>
        <w:t xml:space="preserve"> </w:t>
      </w:r>
      <w:r>
        <w:t xml:space="preserve">Mr. Ali Rezaei, IT Director</w:t>
      </w:r>
    </w:p>
    <w:p>
      <w:pPr>
        <w:pStyle w:val="BodyText"/>
      </w:pPr>
      <w:r>
        <w:rPr>
          <w:bCs/>
          <w:b/>
        </w:rPr>
        <w:t xml:space="preserve">Address:</w:t>
      </w:r>
      <w:r>
        <w:t xml:space="preserve"> </w:t>
      </w:r>
      <w:r>
        <w:t xml:space="preserve">15th Floor, Azadi Tower Complex, Valiasr Ave, Tehran, Iran</w:t>
      </w:r>
    </w:p>
    <w:p>
      <w:pPr>
        <w:pStyle w:val="BodyText"/>
      </w:pPr>
      <w:r>
        <w:rPr>
          <w:bCs/>
          <w:b/>
        </w:rPr>
        <w:t xml:space="preserve">Email:</w:t>
      </w:r>
      <w:r>
        <w:t xml:space="preserve"> </w:t>
      </w:r>
      <w:r>
        <w:t xml:space="preserve">a.rezaei@parsian-industrial.ir</w:t>
      </w:r>
    </w:p>
    <w:bookmarkEnd w:id="22"/>
    <w:bookmarkStart w:id="23" w:name="project-location"/>
    <w:p>
      <w:pPr>
        <w:pStyle w:val="Heading3"/>
      </w:pPr>
      <w:r>
        <w:t xml:space="preserve">Project Location:</w:t>
      </w:r>
    </w:p>
    <w:p>
      <w:pPr>
        <w:pStyle w:val="FirstParagraph"/>
      </w:pPr>
      <w:r>
        <w:rPr>
          <w:bCs/>
          <w:b/>
        </w:rPr>
        <w:t xml:space="preserve">Site:</w:t>
      </w:r>
      <w:r>
        <w:t xml:space="preserve"> </w:t>
      </w:r>
      <w:r>
        <w:t xml:space="preserve">Parsian Central Data Center</w:t>
      </w:r>
    </w:p>
    <w:p>
      <w:pPr>
        <w:pStyle w:val="BodyText"/>
      </w:pPr>
      <w:r>
        <w:rPr>
          <w:bCs/>
          <w:b/>
        </w:rPr>
        <w:t xml:space="preserve">Address:</w:t>
      </w:r>
      <w:r>
        <w:t xml:space="preserve"> </w:t>
      </w:r>
      <w:r>
        <w:t xml:space="preserve">Karaj Road, Km 12, Tehran Province, Iran</w:t>
      </w:r>
    </w:p>
    <w:p>
      <w:pPr>
        <w:pStyle w:val="BodyText"/>
      </w:pPr>
      <w:r>
        <w:rPr>
          <w:bCs/>
          <w:b/>
        </w:rPr>
        <w:t xml:space="preserve">Contact:</w:t>
      </w:r>
      <w:r>
        <w:t xml:space="preserve"> </w:t>
      </w:r>
      <w:r>
        <w:t xml:space="preserve">+98 21 7777 6666</w:t>
      </w:r>
    </w:p>
    <w:bookmarkEnd w:id="23"/>
    <w:p>
      <w:pPr>
        <w:pStyle w:val="BodyText"/>
      </w:pPr>
      <w:r>
        <w:rPr>
          <w:bCs/>
          <w:b/>
        </w:rPr>
        <w:t xml:space="preserve">Subject:</w:t>
      </w:r>
      <w:r>
        <w:t xml:space="preserve"> </w:t>
      </w:r>
      <w:r>
        <w:t xml:space="preserve">Professional Systems Engineering Services for Infrastructure Optimization and Security Hardening.</w:t>
      </w:r>
    </w:p>
    <w:p>
      <w:pPr>
        <w:pStyle w:val="BodyText"/>
      </w:pPr>
      <w:r>
        <w:t xml:space="preserve">This invoice covers the comprehensive technical services provided by our certified Systems Engineers in Tehran. The scope of work included the architectural design, implementation, and rigorous testing of the client's enterprise-level server infrastructure. Our team focused on enhancing system reliability, optimizing resource allocation, and ensuring compliance with local data sovereignty regulations within Iran.</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VAT (9%)</w:t>
            </w:r>
          </w:p>
        </w:tc>
      </w:tr>
      <w:tr>
        <w:tc>
          <w:tcPr/>
          <w:p>
            <w:pPr>
              <w:pStyle w:val="Compact"/>
              <w:jc w:val="left"/>
            </w:pPr>
            <w:r>
              <w:t xml:space="preserve">1</w:t>
            </w:r>
          </w:p>
        </w:tc>
        <w:tc>
          <w:tcPr/>
          <w:p>
            <w:pPr>
              <w:pStyle w:val="Compact"/>
              <w:jc w:val="left"/>
            </w:pPr>
            <w:r>
              <w:rPr>
                <w:bCs/>
                <w:b/>
              </w:rPr>
              <w:t xml:space="preserve">Systems Architecture Design &amp; Consultation</w:t>
            </w:r>
            <w:r>
              <w:br/>
            </w:r>
            <w:r>
              <w:t xml:space="preserve">Detailed analysis of existing hardware in Tehran facilities. Design of a scalable, high-availability network topology tailored for high-traffic industrial applications.</w:t>
            </w:r>
          </w:p>
        </w:tc>
        <w:tc>
          <w:tcPr/>
          <w:p>
            <w:pPr>
              <w:pStyle w:val="Compact"/>
              <w:jc w:val="left"/>
            </w:pPr>
            <w:r>
              <w:t xml:space="preserve">40 Hrs</w:t>
            </w:r>
          </w:p>
        </w:tc>
        <w:tc>
          <w:tcPr/>
          <w:p>
            <w:pPr>
              <w:pStyle w:val="Compact"/>
              <w:jc w:val="left"/>
            </w:pPr>
            <w:r>
              <w:t xml:space="preserve">150.00</w:t>
            </w:r>
          </w:p>
        </w:tc>
        <w:tc>
          <w:tcPr/>
          <w:p>
            <w:pPr>
              <w:pStyle w:val="Compact"/>
              <w:jc w:val="left"/>
            </w:pPr>
            <w:r>
              <w:t xml:space="preserve">6,000.00</w:t>
            </w:r>
          </w:p>
        </w:tc>
        <w:tc>
          <w:tcPr/>
          <w:p>
            <w:pPr>
              <w:pStyle w:val="Compact"/>
              <w:jc w:val="left"/>
            </w:pPr>
            <w:r>
              <w:t xml:space="preserve">540.00</w:t>
            </w:r>
          </w:p>
        </w:tc>
      </w:tr>
      <w:tr>
        <w:tc>
          <w:tcPr/>
          <w:p>
            <w:pPr>
              <w:pStyle w:val="Compact"/>
              <w:jc w:val="left"/>
            </w:pPr>
            <w:r>
              <w:t xml:space="preserve">2</w:t>
            </w:r>
          </w:p>
        </w:tc>
        <w:tc>
          <w:tcPr/>
          <w:p>
            <w:pPr>
              <w:pStyle w:val="Compact"/>
              <w:jc w:val="left"/>
            </w:pPr>
            <w:r>
              <w:rPr>
                <w:bCs/>
                <w:b/>
              </w:rPr>
              <w:t xml:space="preserve">Server Deployment &amp; Configuration</w:t>
            </w:r>
            <w:r>
              <w:br/>
            </w:r>
            <w:r>
              <w:t xml:space="preserve">Physical installation and OS configuration of 12 Linux-based servers. Implementation of virtualization clusters to maximize hardware efficiency.</w:t>
            </w:r>
          </w:p>
        </w:tc>
        <w:tc>
          <w:tcPr/>
          <w:p>
            <w:pPr>
              <w:pStyle w:val="Compact"/>
              <w:jc w:val="left"/>
            </w:pPr>
            <w:r>
              <w:t xml:space="preserve">60 Hrs</w:t>
            </w:r>
          </w:p>
        </w:tc>
        <w:tc>
          <w:tcPr/>
          <w:p>
            <w:pPr>
              <w:pStyle w:val="Compact"/>
              <w:jc w:val="left"/>
            </w:pPr>
            <w:r>
              <w:t xml:space="preserve">120.00</w:t>
            </w:r>
          </w:p>
        </w:tc>
        <w:tc>
          <w:tcPr/>
          <w:p>
            <w:pPr>
              <w:pStyle w:val="Compact"/>
              <w:jc w:val="left"/>
            </w:pPr>
            <w:r>
              <w:t xml:space="preserve">7,200.00</w:t>
            </w:r>
          </w:p>
        </w:tc>
        <w:tc>
          <w:tcPr/>
          <w:p>
            <w:pPr>
              <w:pStyle w:val="Compact"/>
              <w:jc w:val="left"/>
            </w:pPr>
            <w:r>
              <w:t xml:space="preserve">648.00</w:t>
            </w:r>
          </w:p>
        </w:tc>
      </w:tr>
      <w:tr>
        <w:tc>
          <w:tcPr/>
          <w:p>
            <w:pPr>
              <w:pStyle w:val="Compact"/>
              <w:jc w:val="left"/>
            </w:pPr>
            <w:r>
              <w:t xml:space="preserve">3</w:t>
            </w:r>
          </w:p>
        </w:tc>
        <w:tc>
          <w:tcPr/>
          <w:p>
            <w:pPr>
              <w:pStyle w:val="Compact"/>
              <w:jc w:val="left"/>
            </w:pPr>
            <w:r>
              <w:rPr>
                <w:bCs/>
                <w:b/>
              </w:rPr>
              <w:t xml:space="preserve">Network Security Hardening</w:t>
            </w:r>
            <w:r>
              <w:br/>
            </w:r>
            <w:r>
              <w:t xml:space="preserve">Configuration of firewalls, intrusion detection systems, and encryption protocols. Ensuring secure data transmission across the Tehran metropolitan network.</w:t>
            </w:r>
          </w:p>
        </w:tc>
        <w:tc>
          <w:tcPr/>
          <w:p>
            <w:pPr>
              <w:pStyle w:val="Compact"/>
              <w:jc w:val="left"/>
            </w:pPr>
            <w:r>
              <w:t xml:space="preserve">35 Hrs</w:t>
            </w:r>
          </w:p>
        </w:tc>
        <w:tc>
          <w:tcPr/>
          <w:p>
            <w:pPr>
              <w:pStyle w:val="Compact"/>
              <w:jc w:val="left"/>
            </w:pPr>
            <w:r>
              <w:t xml:space="preserve">160.00</w:t>
            </w:r>
          </w:p>
        </w:tc>
        <w:tc>
          <w:tcPr/>
          <w:p>
            <w:pPr>
              <w:pStyle w:val="Compact"/>
              <w:jc w:val="left"/>
            </w:pPr>
            <w:r>
              <w:t xml:space="preserve">5,600.00</w:t>
            </w:r>
          </w:p>
        </w:tc>
        <w:tc>
          <w:tcPr/>
          <w:p>
            <w:pPr>
              <w:pStyle w:val="Compact"/>
              <w:jc w:val="left"/>
            </w:pPr>
            <w:r>
              <w:t xml:space="preserve">504.00</w:t>
            </w:r>
          </w:p>
        </w:tc>
      </w:tr>
      <w:tr>
        <w:tc>
          <w:tcPr/>
          <w:p>
            <w:pPr>
              <w:pStyle w:val="Compact"/>
              <w:jc w:val="left"/>
            </w:pPr>
            <w:r>
              <w:t xml:space="preserve">4</w:t>
            </w:r>
          </w:p>
        </w:tc>
        <w:tc>
          <w:tcPr/>
          <w:p>
            <w:pPr>
              <w:pStyle w:val="Compact"/>
              <w:jc w:val="left"/>
            </w:pPr>
            <w:r>
              <w:rPr>
                <w:bCs/>
                <w:b/>
              </w:rPr>
              <w:t xml:space="preserve">Performance Tuning &amp; Load Balancing</w:t>
            </w:r>
            <w:r>
              <w:br/>
            </w:r>
            <w:r>
              <w:t xml:space="preserve">Optimization of database queries and application servers. Setup of load balancers to ensure consistent uptime during peak operational hours.</w:t>
            </w:r>
          </w:p>
        </w:tc>
        <w:tc>
          <w:tcPr/>
          <w:p>
            <w:pPr>
              <w:pStyle w:val="Compact"/>
              <w:jc w:val="left"/>
            </w:pPr>
            <w:r>
              <w:t xml:space="preserve">25 Hrs</w:t>
            </w:r>
          </w:p>
        </w:tc>
        <w:tc>
          <w:tcPr/>
          <w:p>
            <w:pPr>
              <w:pStyle w:val="Compact"/>
              <w:jc w:val="left"/>
            </w:pPr>
            <w:r>
              <w:t xml:space="preserve">140.00</w:t>
            </w:r>
          </w:p>
        </w:tc>
        <w:tc>
          <w:tcPr/>
          <w:p>
            <w:pPr>
              <w:pStyle w:val="Compact"/>
              <w:jc w:val="left"/>
            </w:pPr>
            <w:r>
              <w:t xml:space="preserve">3,500.00</w:t>
            </w:r>
          </w:p>
        </w:tc>
        <w:tc>
          <w:tcPr/>
          <w:p>
            <w:pPr>
              <w:pStyle w:val="Compact"/>
              <w:jc w:val="left"/>
            </w:pPr>
            <w:r>
              <w:t xml:space="preserve">315.00</w:t>
            </w:r>
          </w:p>
        </w:tc>
      </w:tr>
      <w:tr>
        <w:tc>
          <w:tcPr/>
          <w:p>
            <w:pPr>
              <w:pStyle w:val="Compact"/>
              <w:jc w:val="left"/>
            </w:pPr>
            <w:r>
              <w:t xml:space="preserve">5</w:t>
            </w:r>
          </w:p>
        </w:tc>
        <w:tc>
          <w:tcPr/>
          <w:p>
            <w:pPr>
              <w:pStyle w:val="Compact"/>
              <w:jc w:val="left"/>
            </w:pPr>
            <w:r>
              <w:rPr>
                <w:bCs/>
                <w:b/>
              </w:rPr>
              <w:t xml:space="preserve">Documentation &amp; Training</w:t>
            </w:r>
            <w:r>
              <w:br/>
            </w:r>
            <w:r>
              <w:t xml:space="preserve">Creation of technical manuals for the Parsian IT team. On-site training sessions in Tehran regarding system maintenance and troubleshooting procedures.</w:t>
            </w:r>
          </w:p>
        </w:tc>
        <w:tc>
          <w:tcPr/>
          <w:p>
            <w:pPr>
              <w:pStyle w:val="Compact"/>
              <w:jc w:val="left"/>
            </w:pPr>
            <w:r>
              <w:t xml:space="preserve">15 Hrs</w:t>
            </w:r>
          </w:p>
        </w:tc>
        <w:tc>
          <w:tcPr/>
          <w:p>
            <w:pPr>
              <w:pStyle w:val="Compact"/>
              <w:jc w:val="left"/>
            </w:pPr>
            <w:r>
              <w:t xml:space="preserve">130.00</w:t>
            </w:r>
          </w:p>
        </w:tc>
        <w:tc>
          <w:tcPr/>
          <w:p>
            <w:pPr>
              <w:pStyle w:val="Compact"/>
              <w:jc w:val="left"/>
            </w:pPr>
            <w:r>
              <w:t xml:space="preserve">1,950.00</w:t>
            </w:r>
          </w:p>
        </w:tc>
        <w:tc>
          <w:tcPr/>
          <w:p>
            <w:pPr>
              <w:pStyle w:val="Compact"/>
              <w:jc w:val="left"/>
            </w:pPr>
            <w:r>
              <w:t xml:space="preserve">175.50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$24,250.00</w:t>
            </w:r>
          </w:p>
        </w:tc>
      </w:tr>
      <w:tr>
        <w:tc>
          <w:tcPr/>
          <w:p>
            <w:pPr>
              <w:pStyle w:val="Compact"/>
              <w:jc w:val="left"/>
            </w:pPr>
            <w:r>
              <w:t xml:space="preserve">Total VAT (9%):</w:t>
            </w:r>
          </w:p>
        </w:tc>
        <w:tc>
          <w:tcPr/>
          <w:p>
            <w:pPr>
              <w:pStyle w:val="Compact"/>
              <w:jc w:val="left"/>
            </w:pPr>
            <w:r>
              <w:t xml:space="preserve">$2,182.50</w:t>
            </w:r>
          </w:p>
        </w:tc>
      </w:tr>
      <w:tr>
        <w:tc>
          <w:tcPr/>
          <w:p>
            <w:pPr>
              <w:pStyle w:val="Compact"/>
              <w:jc w:val="left"/>
            </w:pPr>
            <w:r>
              <w:t xml:space="preserve">Discount (Early Payment):</w:t>
            </w:r>
          </w:p>
        </w:tc>
        <w:tc>
          <w:tcPr/>
          <w:p>
            <w:pPr>
              <w:pStyle w:val="Compact"/>
              <w:jc w:val="left"/>
            </w:pPr>
            <w:r>
              <w:t xml:space="preserve">$0.00</w:t>
            </w:r>
          </w:p>
        </w:tc>
      </w:tr>
      <w:tr>
        <w:tc>
          <w:tcPr/>
          <w:p>
            <w:pPr>
              <w:pStyle w:val="Compact"/>
              <w:jc w:val="left"/>
            </w:pPr>
            <w:r>
              <w:t xml:space="preserve">Grand Total:</w:t>
            </w:r>
          </w:p>
        </w:tc>
        <w:tc>
          <w:tcPr/>
          <w:p>
            <w:pPr>
              <w:pStyle w:val="Compact"/>
              <w:jc w:val="left"/>
            </w:pPr>
            <w:r>
              <w:t xml:space="preserve">$26,432.50</w:t>
            </w:r>
          </w:p>
        </w:tc>
      </w:tr>
    </w:tbl>
    <w:bookmarkStart w:id="24" w:name="payment-instructions"/>
    <w:p>
      <w:pPr>
        <w:pStyle w:val="Heading4"/>
      </w:pPr>
      <w:r>
        <w:t xml:space="preserve">Payment Instructions</w:t>
      </w:r>
    </w:p>
    <w:p>
      <w:pPr>
        <w:pStyle w:val="FirstParagraph"/>
      </w:pPr>
      <w:r>
        <w:t xml:space="preserve">Please remit payment within 30 days of the invoice date. Payments can be made via bank transfer to the following account:</w:t>
      </w:r>
    </w:p>
    <w:p>
      <w:pPr>
        <w:pStyle w:val="BodyText"/>
      </w:pPr>
      <w:r>
        <w:rPr>
          <w:bCs/>
          <w:b/>
        </w:rPr>
        <w:t xml:space="preserve">Bank Name:</w:t>
      </w:r>
      <w:r>
        <w:t xml:space="preserve"> </w:t>
      </w:r>
      <w:r>
        <w:t xml:space="preserve">Bank Melli Iran</w:t>
      </w:r>
      <w:r>
        <w:br/>
      </w:r>
      <w:r>
        <w:rPr>
          <w:bCs/>
          <w:b/>
        </w:rPr>
        <w:t xml:space="preserve">Account Name:</w:t>
      </w:r>
      <w:r>
        <w:t xml:space="preserve"> </w:t>
      </w:r>
      <w:r>
        <w:t xml:space="preserve">Tehran Systems Engineering Solutions Co.</w:t>
      </w:r>
      <w:r>
        <w:br/>
      </w:r>
      <w:r>
        <w:rPr>
          <w:bCs/>
          <w:b/>
        </w:rPr>
        <w:t xml:space="preserve">IBAN:</w:t>
      </w:r>
      <w:r>
        <w:t xml:space="preserve"> </w:t>
      </w:r>
      <w:r>
        <w:t xml:space="preserve">IR00 0500 0000 0000 1234 5678 90</w:t>
      </w:r>
      <w:r>
        <w:br/>
      </w:r>
      <w:r>
        <w:rPr>
          <w:bCs/>
          <w:b/>
        </w:rPr>
        <w:t xml:space="preserve">SWIFT Code:</w:t>
      </w:r>
      <w:r>
        <w:t xml:space="preserve"> </w:t>
      </w:r>
      <w:r>
        <w:t xml:space="preserve">MELLIRTH</w:t>
      </w:r>
    </w:p>
    <w:p>
      <w:pPr>
        <w:pStyle w:val="BodyText"/>
      </w:pPr>
      <w:r>
        <w:rPr>
          <w:iCs/>
          <w:i/>
        </w:rPr>
        <w:t xml:space="preserve">Note: Please include the Invoice Number (INV-IR-2023-0045) in the payment reference.</w:t>
      </w:r>
    </w:p>
    <w:bookmarkEnd w:id="24"/>
    <w:bookmarkStart w:id="25" w:name="terms-and-conditions"/>
    <w:p>
      <w:pPr>
        <w:pStyle w:val="Heading4"/>
      </w:pPr>
      <w:r>
        <w:t xml:space="preserve">Terms and Conditions</w:t>
      </w:r>
    </w:p>
    <w:p>
      <w:pPr>
        <w:numPr>
          <w:ilvl w:val="0"/>
          <w:numId w:val="1001"/>
        </w:numPr>
        <w:pStyle w:val="Compact"/>
      </w:pPr>
      <w:r>
        <w:t xml:space="preserve">All services described in this invoice were performed by qualified Systems Engineers adhering to international standards and local regulations in Iran.</w:t>
      </w:r>
    </w:p>
    <w:p>
      <w:pPr>
        <w:numPr>
          <w:ilvl w:val="0"/>
          <w:numId w:val="1001"/>
        </w:numPr>
        <w:pStyle w:val="Compact"/>
      </w:pPr>
      <w:r>
        <w:t xml:space="preserve">Late payments will incur a penalty fee of 1.5% per month on the outstanding balance.</w:t>
      </w:r>
    </w:p>
    <w:p>
      <w:pPr>
        <w:numPr>
          <w:ilvl w:val="0"/>
          <w:numId w:val="1001"/>
        </w:numPr>
        <w:pStyle w:val="Compact"/>
      </w:pPr>
      <w:r>
        <w:t xml:space="preserve">This invoice is valid for tax purposes in the Islamic Republic of Iran. Please retain this document for your accounting records.</w:t>
      </w:r>
    </w:p>
    <w:p>
      <w:pPr>
        <w:numPr>
          <w:ilvl w:val="0"/>
          <w:numId w:val="1001"/>
        </w:numPr>
        <w:pStyle w:val="Compact"/>
      </w:pPr>
      <w:r>
        <w:t xml:space="preserve">Any disputes regarding the services rendered must be raised within 14 days of the invoice date.</w:t>
      </w:r>
    </w:p>
    <w:p>
      <w:pPr>
        <w:numPr>
          <w:ilvl w:val="0"/>
          <w:numId w:val="1001"/>
        </w:numPr>
        <w:pStyle w:val="Compact"/>
      </w:pPr>
      <w:r>
        <w:t xml:space="preserve">Prices are quoted in USD but can be settled in IRR based on the central bank exchange rate on the day of payment.</w:t>
      </w:r>
    </w:p>
    <w:p>
      <w:pPr>
        <w:pStyle w:val="FirstParagraph"/>
      </w:pPr>
      <w:r>
        <w:t xml:space="preserve">Thank you for choosing Tehran Systems Engineering Solutions for your critical infrastructure needs. We are committed to providing top-tier technical expertise to support your business growth in Tehran and beyond.</w:t>
      </w:r>
    </w:p>
    <w:bookmarkEnd w:id="25"/>
    <w:p>
      <w:pPr>
        <w:pStyle w:val="BodyText"/>
      </w:pPr>
      <w:r>
        <w:rPr>
          <w:bCs/>
          <w:b/>
        </w:rPr>
        <w:t xml:space="preserve">Authorized Signature</w:t>
      </w:r>
    </w:p>
    <w:p>
      <w:pPr>
        <w:pStyle w:val="BodyText"/>
      </w:pPr>
      <w:r>
        <w:t xml:space="preserve">Dr. Mohammad Hosseini</w:t>
      </w:r>
    </w:p>
    <w:p>
      <w:pPr>
        <w:pStyle w:val="BodyText"/>
      </w:pPr>
      <w:r>
        <w:t xml:space="preserve">Lead Systems Engineer</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Systems Engineering Services</dc:title>
  <dc:creator/>
  <dc:language>en</dc:language>
  <cp:keywords/>
  <dcterms:created xsi:type="dcterms:W3CDTF">2026-10-10T01:03:08Z</dcterms:created>
  <dcterms:modified xsi:type="dcterms:W3CDTF">2026-10-10T01:03:08Z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