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Nairobi,</w:t>
      </w:r>
      <w:r>
        <w:t xml:space="preserve"> </w:t>
      </w:r>
      <w:r>
        <w:t xml:space="preserve">Kenya</w:t>
      </w:r>
    </w:p>
    <w:bookmarkStart w:id="20" w:name="techsolutions-kenya-ltd."/>
    <w:p>
      <w:pPr>
        <w:pStyle w:val="Heading1"/>
      </w:pPr>
      <w:r>
        <w:t xml:space="preserve">TECHSOLUTIONS KENYA LTD.</w:t>
      </w:r>
    </w:p>
    <w:p>
      <w:pPr>
        <w:pStyle w:val="FirstParagraph"/>
      </w:pPr>
      <w:r>
        <w:t xml:space="preserve">Professional Systems Engineering Services</w:t>
      </w:r>
    </w:p>
    <w:p>
      <w:pPr>
        <w:pStyle w:val="BodyText"/>
      </w:pPr>
      <w:r>
        <w:t xml:space="preserve">Office 402, Westlands Business Park</w:t>
      </w:r>
    </w:p>
    <w:p>
      <w:pPr>
        <w:pStyle w:val="BodyText"/>
      </w:pPr>
      <w:r>
        <w:t xml:space="preserve">Waiyaki Way, Nairobi, Kenya</w:t>
      </w:r>
    </w:p>
    <w:p>
      <w:pPr>
        <w:pStyle w:val="BodyText"/>
      </w:pPr>
      <w:r>
        <w:t xml:space="preserve">P.O. Box 12345 - 00100, Nairobi</w:t>
      </w:r>
    </w:p>
    <w:p>
      <w:pPr>
        <w:pStyle w:val="BodyText"/>
      </w:pPr>
      <w:r>
        <w:t xml:space="preserve">Email: billing@techsolutions.co.ke</w:t>
      </w:r>
    </w:p>
    <w:p>
      <w:pPr>
        <w:pStyle w:val="BodyText"/>
      </w:pPr>
      <w:r>
        <w:t xml:space="preserve">Phone: +254 700 123 456</w:t>
      </w:r>
    </w:p>
    <w:p>
      <w:pPr>
        <w:pStyle w:val="BodyText"/>
      </w:pPr>
      <w:r>
        <w:t xml:space="preserve">KRA PIN: P051234567Z</w:t>
      </w:r>
    </w:p>
    <w:bookmarkEnd w:id="20"/>
    <w:bookmarkStart w:id="21" w:name="invoice"/>
    <w:p>
      <w:pPr>
        <w:pStyle w:val="Heading2"/>
      </w:pPr>
      <w:r>
        <w:t xml:space="preserve">INVOICE</w:t>
      </w:r>
    </w:p>
    <w:p>
      <w:pPr>
        <w:pStyle w:val="FirstParagraph"/>
      </w:pPr>
      <w:r>
        <w:t xml:space="preserve">Professional Services Rendered</w:t>
      </w:r>
    </w:p>
    <w:bookmarkEnd w:id="21"/>
    <w:bookmarkStart w:id="22" w:name="bill-to"/>
    <w:p>
      <w:pPr>
        <w:pStyle w:val="Heading3"/>
      </w:pPr>
      <w:r>
        <w:t xml:space="preserve">Bill To:</w:t>
      </w:r>
    </w:p>
    <w:p>
      <w:pPr>
        <w:pStyle w:val="FirstParagraph"/>
      </w:pPr>
      <w:r>
        <w:rPr>
          <w:bCs/>
          <w:b/>
        </w:rPr>
        <w:t xml:space="preserve">Nairobi Metropolitan Development Authority</w:t>
      </w:r>
    </w:p>
    <w:p>
      <w:pPr>
        <w:pStyle w:val="BodyText"/>
      </w:pPr>
      <w:r>
        <w:t xml:space="preserve">ICT Department</w:t>
      </w:r>
    </w:p>
    <w:p>
      <w:pPr>
        <w:pStyle w:val="BodyText"/>
      </w:pPr>
      <w:r>
        <w:t xml:space="preserve">City Hall Annex, Haile Selassie Avenue</w:t>
      </w:r>
    </w:p>
    <w:p>
      <w:pPr>
        <w:pStyle w:val="BodyText"/>
      </w:pPr>
      <w:r>
        <w:t xml:space="preserve">P.O. Box 30321 - 00100</w:t>
      </w:r>
    </w:p>
    <w:p>
      <w:pPr>
        <w:pStyle w:val="BodyText"/>
      </w:pPr>
      <w:r>
        <w:t xml:space="preserve">Nairobi, Kenya</w:t>
      </w:r>
    </w:p>
    <w:p>
      <w:pPr>
        <w:pStyle w:val="BodyText"/>
      </w:pPr>
      <w:r>
        <w:t xml:space="preserve">Attn: Chief Information Officer</w:t>
      </w:r>
    </w:p>
    <w:bookmarkEnd w:id="22"/>
    <w:tbl>
      <w:tblPr>
        <w:tblStyle w:val="Table"/>
        <w:tblW w:type="auto" w:w="0"/>
        <w:tblLook w:firstRow="0" w:lastRow="0" w:firstColumn="0" w:lastColumn="0" w:noHBand="0" w:noVBand="0" w:val="0000"/>
      </w:tblPr>
      <w:tblGrid>
        <w:gridCol w:w="3960"/>
        <w:gridCol w:w="3960"/>
      </w:tblGrid>
      <w:tr>
        <w:tc>
          <w:tcPr/>
          <w:p>
            <w:pPr>
              <w:pStyle w:val="Compact"/>
              <w:jc w:val="left"/>
            </w:pPr>
            <w:r>
              <w:t xml:space="preserve">Invoice Number:</w:t>
            </w:r>
          </w:p>
        </w:tc>
        <w:tc>
          <w:tcPr/>
          <w:p>
            <w:pPr>
              <w:pStyle w:val="Compact"/>
              <w:jc w:val="left"/>
            </w:pPr>
            <w:r>
              <w:t xml:space="preserve">INV-2024-0847</w:t>
            </w:r>
          </w:p>
        </w:tc>
      </w:tr>
      <w:tr>
        <w:tc>
          <w:tcPr/>
          <w:p>
            <w:pPr>
              <w:pStyle w:val="Compact"/>
              <w:jc w:val="left"/>
            </w:pPr>
            <w:r>
              <w:t xml:space="preserve">Date Issued:</w:t>
            </w:r>
          </w:p>
        </w:tc>
        <w:tc>
          <w:tcPr/>
          <w:p>
            <w:pPr>
              <w:pStyle w:val="Compact"/>
              <w:jc w:val="left"/>
            </w:pPr>
            <w:r>
              <w:t xml:space="preserve">October 15, 2024</w:t>
            </w:r>
          </w:p>
        </w:tc>
      </w:tr>
      <w:tr>
        <w:tc>
          <w:tcPr/>
          <w:p>
            <w:pPr>
              <w:pStyle w:val="Compact"/>
              <w:jc w:val="left"/>
            </w:pPr>
            <w:r>
              <w:t xml:space="preserve">Due Date:</w:t>
            </w:r>
          </w:p>
        </w:tc>
        <w:tc>
          <w:tcPr/>
          <w:p>
            <w:pPr>
              <w:pStyle w:val="Compact"/>
              <w:jc w:val="left"/>
            </w:pPr>
            <w:r>
              <w:t xml:space="preserve">November 15, 2024</w:t>
            </w:r>
          </w:p>
        </w:tc>
      </w:tr>
      <w:tr>
        <w:tc>
          <w:tcPr/>
          <w:p>
            <w:pPr>
              <w:pStyle w:val="Compact"/>
              <w:jc w:val="left"/>
            </w:pPr>
            <w:r>
              <w:t xml:space="preserve">Service Period:</w:t>
            </w:r>
          </w:p>
        </w:tc>
        <w:tc>
          <w:tcPr/>
          <w:p>
            <w:pPr>
              <w:pStyle w:val="Compact"/>
              <w:jc w:val="left"/>
            </w:pPr>
            <w:r>
              <w:t xml:space="preserve">September 1 - October 14, 2024</w:t>
            </w:r>
          </w:p>
        </w:tc>
      </w:tr>
      <w:tr>
        <w:tc>
          <w:tcPr/>
          <w:p>
            <w:pPr>
              <w:pStyle w:val="Compact"/>
              <w:jc w:val="left"/>
            </w:pPr>
            <w:r>
              <w:t xml:space="preserve">Currency:</w:t>
            </w:r>
          </w:p>
        </w:tc>
        <w:tc>
          <w:tcPr/>
          <w:p>
            <w:pPr>
              <w:pStyle w:val="Compact"/>
              <w:jc w:val="left"/>
            </w:pPr>
            <w:r>
              <w:t xml:space="preserve">KES (Kenyan Shilling)</w:t>
            </w:r>
          </w:p>
        </w:tc>
      </w:tr>
    </w:tbl>
    <w:bookmarkStart w:id="23" w:name="X9b3db4588be15be1947006a2bbf54fd03cfc324"/>
    <w:p>
      <w:pPr>
        <w:pStyle w:val="Heading3"/>
      </w:pPr>
      <w:r>
        <w:t xml:space="preserve">Description of Systems Engineering Services</w:t>
      </w:r>
    </w:p>
    <w:p>
      <w:pPr>
        <w:pStyle w:val="FirstParagraph"/>
      </w:pPr>
      <w:r>
        <w:t xml:space="preserve">This Invoice represents professional Systems Engineer services rendered in Nairobi, Kenya, encompassing comprehensive IT infrastructure design, implementation, optimization, and maintenance. Our certified Systems Engineers have delivered enterprise-grade solutions tailored to meet the specific technological requirements of your organization within the Nairobi metropolitan area. The services include network architecture planning, server configuration, cloud integration, cybersecurity implementation, and ongoing technical support, all performed in accordance with Kenyan telecommunications regulations and international best practices.</w:t>
      </w:r>
    </w:p>
    <w:tbl>
      <w:tblPr>
        <w:tblStyle w:val="Table"/>
        <w:tblW w:type="pct" w:w="500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Hours/Qty</w:t>
            </w:r>
          </w:p>
        </w:tc>
        <w:tc>
          <w:tcPr/>
          <w:p>
            <w:pPr>
              <w:pStyle w:val="Compact"/>
              <w:jc w:val="left"/>
            </w:pPr>
            <w:r>
              <w:t xml:space="preserve">Rate (KES)</w:t>
            </w:r>
          </w:p>
        </w:tc>
        <w:tc>
          <w:tcPr/>
          <w:p>
            <w:pPr>
              <w:pStyle w:val="Compact"/>
              <w:jc w:val="left"/>
            </w:pPr>
            <w:r>
              <w:t xml:space="preserve">Amount (KES)</w:t>
            </w:r>
          </w:p>
        </w:tc>
      </w:tr>
      <w:tr>
        <w:tc>
          <w:tcPr/>
          <w:p>
            <w:pPr>
              <w:pStyle w:val="Compact"/>
              <w:jc w:val="left"/>
            </w:pPr>
            <w:r>
              <w:t xml:space="preserve">1</w:t>
            </w:r>
          </w:p>
        </w:tc>
        <w:tc>
          <w:tcPr/>
          <w:p>
            <w:pPr>
              <w:pStyle w:val="Compact"/>
              <w:jc w:val="left"/>
            </w:pPr>
            <w:r>
              <w:rPr>
                <w:bCs/>
                <w:b/>
              </w:rPr>
              <w:t xml:space="preserve">Network Infrastructure Design &amp; Implementation</w:t>
            </w:r>
            <w:r>
              <w:br/>
            </w:r>
            <w:r>
              <w:t xml:space="preserve">Comprehensive network architecture planning for Nairobi office facilities including LAN/WAN configuration, VLAN segmentation, and firewall setup.</w:t>
            </w:r>
          </w:p>
        </w:tc>
        <w:tc>
          <w:tcPr/>
          <w:p>
            <w:pPr>
              <w:pStyle w:val="Compact"/>
              <w:jc w:val="left"/>
            </w:pPr>
            <w:r>
              <w:t xml:space="preserve">40</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rPr>
                <w:bCs/>
                <w:b/>
              </w:rPr>
              <w:t xml:space="preserve">Server Configuration &amp; Virtualization</w:t>
            </w:r>
            <w:r>
              <w:br/>
            </w:r>
            <w:r>
              <w:t xml:space="preserve">Deployment and configuration of virtualized server environments using VMware and Hyper-V technologies for enhanced resource utilization.</w:t>
            </w:r>
          </w:p>
        </w:tc>
        <w:tc>
          <w:tcPr/>
          <w:p>
            <w:pPr>
              <w:pStyle w:val="Compact"/>
              <w:jc w:val="left"/>
            </w:pPr>
            <w:r>
              <w:t xml:space="preserve">32</w:t>
            </w:r>
          </w:p>
        </w:tc>
        <w:tc>
          <w:tcPr/>
          <w:p>
            <w:pPr>
              <w:pStyle w:val="Compact"/>
              <w:jc w:val="left"/>
            </w:pPr>
            <w:r>
              <w:t xml:space="preserve">9,000</w:t>
            </w:r>
          </w:p>
        </w:tc>
        <w:tc>
          <w:tcPr/>
          <w:p>
            <w:pPr>
              <w:pStyle w:val="Compact"/>
              <w:jc w:val="left"/>
            </w:pPr>
            <w:r>
              <w:t xml:space="preserve">288,000</w:t>
            </w:r>
          </w:p>
        </w:tc>
      </w:tr>
      <w:tr>
        <w:tc>
          <w:tcPr/>
          <w:p>
            <w:pPr>
              <w:pStyle w:val="Compact"/>
              <w:jc w:val="left"/>
            </w:pPr>
            <w:r>
              <w:t xml:space="preserve">3</w:t>
            </w:r>
          </w:p>
        </w:tc>
        <w:tc>
          <w:tcPr/>
          <w:p>
            <w:pPr>
              <w:pStyle w:val="Compact"/>
              <w:jc w:val="left"/>
            </w:pPr>
            <w:r>
              <w:rPr>
                <w:bCs/>
                <w:b/>
              </w:rPr>
              <w:t xml:space="preserve">Cloud Migration Services</w:t>
            </w:r>
            <w:r>
              <w:br/>
            </w:r>
            <w:r>
              <w:t xml:space="preserve">Strategic migration of on-premise applications to AWS cloud infrastructure with data integrity verification and performance optimization.</w:t>
            </w:r>
          </w:p>
        </w:tc>
        <w:tc>
          <w:tcPr/>
          <w:p>
            <w:pPr>
              <w:pStyle w:val="Compact"/>
              <w:jc w:val="left"/>
            </w:pPr>
            <w:r>
              <w:t xml:space="preserve">28</w:t>
            </w:r>
          </w:p>
        </w:tc>
        <w:tc>
          <w:tcPr/>
          <w:p>
            <w:pPr>
              <w:pStyle w:val="Compact"/>
              <w:jc w:val="left"/>
            </w:pPr>
            <w:r>
              <w:t xml:space="preserve">10,000</w:t>
            </w:r>
          </w:p>
        </w:tc>
        <w:tc>
          <w:tcPr/>
          <w:p>
            <w:pPr>
              <w:pStyle w:val="Compact"/>
              <w:jc w:val="left"/>
            </w:pPr>
            <w:r>
              <w:t xml:space="preserve">280,000</w:t>
            </w:r>
          </w:p>
        </w:tc>
      </w:tr>
      <w:tr>
        <w:tc>
          <w:tcPr/>
          <w:p>
            <w:pPr>
              <w:pStyle w:val="Compact"/>
              <w:jc w:val="left"/>
            </w:pPr>
            <w:r>
              <w:t xml:space="preserve">4</w:t>
            </w:r>
          </w:p>
        </w:tc>
        <w:tc>
          <w:tcPr/>
          <w:p>
            <w:pPr>
              <w:pStyle w:val="Compact"/>
              <w:jc w:val="left"/>
            </w:pPr>
            <w:r>
              <w:rPr>
                <w:bCs/>
                <w:b/>
              </w:rPr>
              <w:t xml:space="preserve">Cybersecurity Implementation</w:t>
            </w:r>
            <w:r>
              <w:br/>
            </w:r>
            <w:r>
              <w:t xml:space="preserve">Advanced threat protection systems deployment, intrusion detection configuration, and security policy development compliant with Kenyan data protection laws.</w:t>
            </w:r>
          </w:p>
        </w:tc>
        <w:tc>
          <w:tcPr/>
          <w:p>
            <w:pPr>
              <w:pStyle w:val="Compact"/>
              <w:jc w:val="left"/>
            </w:pPr>
            <w:r>
              <w:t xml:space="preserve">24</w:t>
            </w:r>
          </w:p>
        </w:tc>
        <w:tc>
          <w:tcPr/>
          <w:p>
            <w:pPr>
              <w:pStyle w:val="Compact"/>
              <w:jc w:val="left"/>
            </w:pPr>
            <w:r>
              <w:t xml:space="preserve">9,500</w:t>
            </w:r>
          </w:p>
        </w:tc>
        <w:tc>
          <w:tcPr/>
          <w:p>
            <w:pPr>
              <w:pStyle w:val="Compact"/>
              <w:jc w:val="left"/>
            </w:pPr>
            <w:r>
              <w:t xml:space="preserve">228,000</w:t>
            </w:r>
          </w:p>
        </w:tc>
      </w:tr>
      <w:tr>
        <w:tc>
          <w:tcPr/>
          <w:p>
            <w:pPr>
              <w:pStyle w:val="Compact"/>
              <w:jc w:val="left"/>
            </w:pPr>
            <w:r>
              <w:t xml:space="preserve">5</w:t>
            </w:r>
          </w:p>
        </w:tc>
        <w:tc>
          <w:tcPr/>
          <w:p>
            <w:pPr>
              <w:pStyle w:val="Compact"/>
              <w:jc w:val="left"/>
            </w:pPr>
            <w:r>
              <w:rPr>
                <w:bCs/>
                <w:b/>
              </w:rPr>
              <w:t xml:space="preserve">Systems Monitoring &amp; Maintenance</w:t>
            </w:r>
            <w:r>
              <w:br/>
            </w:r>
            <w:r>
              <w:t xml:space="preserve">Implementation of 24/7 monitoring solutions using Nagios and Zabbix platforms for proactive issue detection and resolution.</w:t>
            </w:r>
          </w:p>
        </w:tc>
        <w:tc>
          <w:tcPr/>
          <w:p>
            <w:pPr>
              <w:pStyle w:val="Compact"/>
              <w:jc w:val="left"/>
            </w:pPr>
            <w:r>
              <w:t xml:space="preserve">20</w:t>
            </w:r>
          </w:p>
        </w:tc>
        <w:tc>
          <w:tcPr/>
          <w:p>
            <w:pPr>
              <w:pStyle w:val="Compact"/>
              <w:jc w:val="left"/>
            </w:pPr>
            <w:r>
              <w:t xml:space="preserve">7,500</w:t>
            </w:r>
          </w:p>
        </w:tc>
        <w:tc>
          <w:tcPr/>
          <w:p>
            <w:pPr>
              <w:pStyle w:val="Compact"/>
              <w:jc w:val="left"/>
            </w:pPr>
            <w:r>
              <w:t xml:space="preserve">150,000</w:t>
            </w:r>
          </w:p>
        </w:tc>
      </w:tr>
      <w:tr>
        <w:tc>
          <w:tcPr/>
          <w:p>
            <w:pPr>
              <w:pStyle w:val="Compact"/>
              <w:jc w:val="left"/>
            </w:pPr>
            <w:r>
              <w:t xml:space="preserve">6</w:t>
            </w:r>
          </w:p>
        </w:tc>
        <w:tc>
          <w:tcPr/>
          <w:p>
            <w:pPr>
              <w:pStyle w:val="Compact"/>
              <w:jc w:val="left"/>
            </w:pPr>
            <w:r>
              <w:rPr>
                <w:bCs/>
                <w:b/>
              </w:rPr>
              <w:t xml:space="preserve">Technical Documentation &amp; Training</w:t>
            </w:r>
            <w:r>
              <w:br/>
            </w:r>
            <w:r>
              <w:t xml:space="preserve">Comprehensive documentation of all systems configurations and staff training sessions conducted at Nairobi headquarters.</w:t>
            </w:r>
          </w:p>
        </w:tc>
        <w:tc>
          <w:tcPr/>
          <w:p>
            <w:pPr>
              <w:pStyle w:val="Compact"/>
              <w:jc w:val="left"/>
            </w:pPr>
            <w:r>
              <w:t xml:space="preserve">16</w:t>
            </w:r>
          </w:p>
        </w:tc>
        <w:tc>
          <w:tcPr/>
          <w:p>
            <w:pPr>
              <w:pStyle w:val="Compact"/>
              <w:jc w:val="left"/>
            </w:pPr>
            <w:r>
              <w:t xml:space="preserve">7,000</w:t>
            </w:r>
          </w:p>
        </w:tc>
        <w:tc>
          <w:tcPr/>
          <w:p>
            <w:pPr>
              <w:pStyle w:val="Compact"/>
              <w:jc w:val="left"/>
            </w:pPr>
            <w:r>
              <w:t xml:space="preserve">112,000</w:t>
            </w:r>
          </w:p>
        </w:tc>
      </w:tr>
      <w:tr>
        <w:tc>
          <w:tcPr/>
          <w:p>
            <w:pPr>
              <w:pStyle w:val="Compact"/>
              <w:jc w:val="left"/>
            </w:pPr>
            <w:r>
              <w:t xml:space="preserve">7</w:t>
            </w:r>
          </w:p>
        </w:tc>
        <w:tc>
          <w:tcPr/>
          <w:p>
            <w:pPr>
              <w:pStyle w:val="Compact"/>
              <w:jc w:val="left"/>
            </w:pPr>
            <w:r>
              <w:rPr>
                <w:bCs/>
                <w:b/>
              </w:rPr>
              <w:t xml:space="preserve">Emergency Support &amp; Troubleshooting</w:t>
            </w:r>
            <w:r>
              <w:br/>
            </w:r>
            <w:r>
              <w:t xml:space="preserve">On-call Systems Engineer support for critical incidents with guaranteed response time within Nairobi metropolitan area.</w:t>
            </w:r>
          </w:p>
        </w:tc>
        <w:tc>
          <w:tcPr/>
          <w:p>
            <w:pPr>
              <w:pStyle w:val="Compact"/>
              <w:jc w:val="left"/>
            </w:pPr>
            <w:r>
              <w:t xml:space="preserve">12</w:t>
            </w:r>
          </w:p>
        </w:tc>
        <w:tc>
          <w:tcPr/>
          <w:p>
            <w:pPr>
              <w:pStyle w:val="Compact"/>
              <w:jc w:val="left"/>
            </w:pPr>
            <w:r>
              <w:t xml:space="preserve">11,000</w:t>
            </w:r>
          </w:p>
        </w:tc>
        <w:tc>
          <w:tcPr/>
          <w:p>
            <w:pPr>
              <w:pStyle w:val="Compact"/>
              <w:jc w:val="left"/>
            </w:pPr>
            <w:r>
              <w:t xml:space="preserve">132,000</w:t>
            </w:r>
          </w:p>
        </w:tc>
      </w:tr>
    </w:tbl>
    <w:tbl>
      <w:tblPr>
        <w:tblStyle w:val="Table"/>
        <w:tblW w:type="auto" w:w="0"/>
        <w:tblLook w:firstRow="0" w:lastRow="0" w:firstColumn="0" w:lastColumn="0" w:noHBand="0" w:noVBand="0" w:val="0000"/>
      </w:tblPr>
      <w:tblGrid>
        <w:gridCol w:w="3960"/>
        <w:gridCol w:w="3960"/>
      </w:tblGrid>
      <w:tr>
        <w:tc>
          <w:tcPr/>
          <w:p>
            <w:pPr>
              <w:pStyle w:val="Compact"/>
              <w:jc w:val="left"/>
            </w:pPr>
            <w:r>
              <w:t xml:space="preserve">Subtotal:</w:t>
            </w:r>
          </w:p>
        </w:tc>
        <w:tc>
          <w:tcPr/>
          <w:p>
            <w:pPr>
              <w:pStyle w:val="Compact"/>
              <w:jc w:val="left"/>
            </w:pPr>
            <w:r>
              <w:t xml:space="preserve">KES 1,530,000.00</w:t>
            </w:r>
          </w:p>
        </w:tc>
      </w:tr>
      <w:tr>
        <w:tc>
          <w:tcPr/>
          <w:p>
            <w:pPr>
              <w:pStyle w:val="Compact"/>
              <w:jc w:val="left"/>
            </w:pPr>
            <w:r>
              <w:t xml:space="preserve">VAT (16%):</w:t>
            </w:r>
          </w:p>
        </w:tc>
        <w:tc>
          <w:tcPr/>
          <w:p>
            <w:pPr>
              <w:pStyle w:val="Compact"/>
              <w:jc w:val="left"/>
            </w:pPr>
            <w:r>
              <w:t xml:space="preserve">KES 244,800.00</w:t>
            </w:r>
          </w:p>
        </w:tc>
      </w:tr>
      <w:tr>
        <w:tc>
          <w:tcPr/>
          <w:p>
            <w:pPr>
              <w:pStyle w:val="Compact"/>
              <w:jc w:val="left"/>
            </w:pPr>
            <w:r>
              <w:t xml:space="preserve">TOTAL AMOUNT DUE:</w:t>
            </w:r>
          </w:p>
        </w:tc>
        <w:tc>
          <w:tcPr/>
          <w:p>
            <w:pPr>
              <w:pStyle w:val="Compact"/>
              <w:jc w:val="left"/>
            </w:pPr>
            <w:r>
              <w:t xml:space="preserve">KES 1,774,800.00</w:t>
            </w:r>
          </w:p>
        </w:tc>
      </w:tr>
    </w:tbl>
    <w:bookmarkEnd w:id="23"/>
    <w:bookmarkStart w:id="24" w:name="payment-instructions"/>
    <w:p>
      <w:pPr>
        <w:pStyle w:val="Heading3"/>
      </w:pPr>
      <w:r>
        <w:t xml:space="preserve">Payment Instructions</w:t>
      </w:r>
    </w:p>
    <w:p>
      <w:pPr>
        <w:pStyle w:val="FirstParagraph"/>
      </w:pPr>
      <w:r>
        <w:rPr>
          <w:bCs/>
          <w:b/>
        </w:rPr>
        <w:t xml:space="preserve">Bank Transfer:</w:t>
      </w:r>
    </w:p>
    <w:p>
      <w:pPr>
        <w:pStyle w:val="BodyText"/>
      </w:pPr>
      <w:r>
        <w:t xml:space="preserve">Bank: Equity Bank Kenya Limited</w:t>
      </w:r>
    </w:p>
    <w:p>
      <w:pPr>
        <w:pStyle w:val="BodyText"/>
      </w:pPr>
      <w:r>
        <w:t xml:space="preserve">Branch: Westlands, Nairobi</w:t>
      </w:r>
    </w:p>
    <w:p>
      <w:pPr>
        <w:pStyle w:val="BodyText"/>
      </w:pPr>
      <w:r>
        <w:t xml:space="preserve">Account Name: TechSolutions Kenya Ltd.</w:t>
      </w:r>
    </w:p>
    <w:p>
      <w:pPr>
        <w:pStyle w:val="BodyText"/>
      </w:pPr>
      <w:r>
        <w:t xml:space="preserve">Account Number: 0123456789</w:t>
      </w:r>
    </w:p>
    <w:p>
      <w:pPr>
        <w:pStyle w:val="BodyText"/>
      </w:pPr>
      <w:r>
        <w:t xml:space="preserve">Branch Code: 0123</w:t>
      </w:r>
    </w:p>
    <w:p>
      <w:pPr>
        <w:pStyle w:val="BodyText"/>
      </w:pPr>
      <w:r>
        <w:rPr>
          <w:bCs/>
          <w:b/>
        </w:rPr>
        <w:t xml:space="preserve">M-Pesa Business:</w:t>
      </w:r>
      <w:r>
        <w:t xml:space="preserve"> </w:t>
      </w:r>
      <w:r>
        <w:t xml:space="preserve">Paybill 522522, Account: INV-2024-0847</w:t>
      </w:r>
    </w:p>
    <w:p>
      <w:pPr>
        <w:pStyle w:val="BodyText"/>
      </w:pPr>
      <w:r>
        <w:t xml:space="preserve">Please reference Invoice Number INV-2024-0847 in all payments.</w:t>
      </w:r>
    </w:p>
    <w:bookmarkEnd w:id="24"/>
    <w:bookmarkStart w:id="25" w:name="terms-and-conditions"/>
    <w:p>
      <w:pPr>
        <w:pStyle w:val="Heading3"/>
      </w:pPr>
      <w:r>
        <w:t xml:space="preserve">Terms and Conditions</w:t>
      </w:r>
    </w:p>
    <w:p>
      <w:pPr>
        <w:pStyle w:val="FirstParagraph"/>
      </w:pPr>
      <w:r>
        <w:t xml:space="preserve">1. Payment is due within 30 days of Invoice date as per standard business practices in Kenya Nairobi.</w:t>
      </w:r>
    </w:p>
    <w:p>
      <w:pPr>
        <w:pStyle w:val="BodyText"/>
      </w:pPr>
      <w:r>
        <w:t xml:space="preserve">2. Late payments will incur a penalty of 2% per month on the outstanding balance.</w:t>
      </w:r>
    </w:p>
    <w:p>
      <w:pPr>
        <w:pStyle w:val="BodyText"/>
      </w:pPr>
      <w:r>
        <w:t xml:space="preserve">3. All Systems Engineer services are performed in accordance with the Kenya Information and Communications Act.</w:t>
      </w:r>
    </w:p>
    <w:p>
      <w:pPr>
        <w:pStyle w:val="BodyText"/>
      </w:pPr>
      <w:r>
        <w:t xml:space="preserve">4. VAT is charged at the prevailing rate of 16% as per Kenya Revenue Authority regulations.</w:t>
      </w:r>
    </w:p>
    <w:p>
      <w:pPr>
        <w:pStyle w:val="BodyText"/>
      </w:pPr>
      <w:r>
        <w:t xml:space="preserve">5. This Invoice is valid for services rendered within Nairobi, Kenya, and surrounding metropolitan areas.</w:t>
      </w:r>
    </w:p>
    <w:p>
      <w:pPr>
        <w:pStyle w:val="BodyText"/>
      </w:pPr>
      <w:r>
        <w:t xml:space="preserve">6. Please contact our billing department for any queries regarding this Invoice.</w:t>
      </w:r>
    </w:p>
    <w:p>
      <w:pPr>
        <w:pStyle w:val="BodyText"/>
      </w:pPr>
      <w:r>
        <w:t xml:space="preserve">7. All intellectual property rights for custom solutions remain with the client upon full payment.</w:t>
      </w:r>
    </w:p>
    <w:bookmarkEnd w:id="25"/>
    <w:p>
      <w:pPr>
        <w:pStyle w:val="BodyText"/>
      </w:pPr>
      <w:r>
        <w:rPr>
          <w:bCs/>
          <w:b/>
        </w:rPr>
        <w:t xml:space="preserve">Authorized by:</w:t>
      </w:r>
    </w:p>
    <w:p>
      <w:pPr>
        <w:pStyle w:val="BodyText"/>
      </w:pPr>
      <w:r>
        <w:t xml:space="preserve">John Kamau</w:t>
      </w:r>
      <w:r>
        <w:br/>
      </w:r>
      <w:r>
        <w:t xml:space="preserve">Lead Systems Engineer</w:t>
      </w:r>
      <w:r>
        <w:br/>
      </w:r>
      <w:r>
        <w:t xml:space="preserve">TechSolutions Kenya Ltd.</w:t>
      </w:r>
    </w:p>
    <w:p>
      <w:pPr>
        <w:pStyle w:val="BodyText"/>
      </w:pPr>
      <w:r>
        <w:rPr>
          <w:bCs/>
          <w:b/>
        </w:rPr>
        <w:t xml:space="preserve">Received by:</w:t>
      </w:r>
    </w:p>
    <w:p>
      <w:pPr>
        <w:pStyle w:val="BodyText"/>
      </w:pPr>
      <w:r>
        <w:t xml:space="preserve">_________________________</w:t>
      </w:r>
      <w:r>
        <w:br/>
      </w:r>
      <w:r>
        <w:t xml:space="preserve">Name &amp; Title</w:t>
      </w:r>
      <w:r>
        <w:br/>
      </w:r>
      <w:r>
        <w:t xml:space="preserve">Date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 - Nairobi, Kenya</dc:title>
  <dc:creator/>
  <dc:language>en</dc:language>
  <cp:keywords/>
  <dcterms:created xsi:type="dcterms:W3CDTF">2026-10-10T01:11:32Z</dcterms:created>
  <dcterms:modified xsi:type="dcterms:W3CDTF">2026-10-10T01:11:32Z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