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r>
        <w:t xml:space="preserve"> </w:t>
      </w:r>
      <w:r>
        <w:t xml:space="preserve">-</w:t>
      </w:r>
      <w:r>
        <w:t xml:space="preserve"> </w:t>
      </w:r>
      <w:r>
        <w:t xml:space="preserve">Doha,</w:t>
      </w:r>
      <w:r>
        <w:t xml:space="preserve"> </w:t>
      </w:r>
      <w:r>
        <w:t xml:space="preserve">Qatar</w:t>
      </w:r>
    </w:p>
    <w:bookmarkStart w:id="20" w:name="qatar-systems-integration-solutions"/>
    <w:p>
      <w:pPr>
        <w:pStyle w:val="Heading1"/>
      </w:pPr>
      <w:r>
        <w:t xml:space="preserve">Qatar Systems Integration &amp; Solutions</w:t>
      </w:r>
    </w:p>
    <w:p>
      <w:pPr>
        <w:pStyle w:val="FirstParagraph"/>
      </w:pPr>
      <w:r>
        <w:t xml:space="preserve">Al Sadd District, Building 45, Street 12</w:t>
      </w:r>
      <w:r>
        <w:br/>
      </w:r>
      <w:r>
        <w:t xml:space="preserve">Doha, Qatar</w:t>
      </w:r>
      <w:r>
        <w:br/>
      </w:r>
      <w:r>
        <w:t xml:space="preserve">P.O. Box: 23456</w:t>
      </w:r>
      <w:r>
        <w:br/>
      </w:r>
      <w:r>
        <w:t xml:space="preserve">Commercial Registration (CR): 123456789</w:t>
      </w:r>
      <w:r>
        <w:br/>
      </w:r>
      <w:r>
        <w:t xml:space="preserve">Tax Registration Number (TRN): 100012345678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QSI-2023-0892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Lead Systems Engineer:</w:t>
      </w:r>
      <w:r>
        <w:t xml:space="preserve"> </w:t>
      </w:r>
      <w:r>
        <w:t xml:space="preserve">Ahmed Al-Mansoori</w:t>
      </w:r>
      <w:r>
        <w:br/>
      </w:r>
      <w:r>
        <w:rPr>
          <w:bCs/>
          <w:b/>
        </w:rPr>
        <w:t xml:space="preserve">Role:</w:t>
      </w:r>
      <w:r>
        <w:t xml:space="preserve"> </w:t>
      </w:r>
      <w:r>
        <w:t xml:space="preserve">Senior Systems Engineer</w:t>
      </w:r>
      <w:r>
        <w:br/>
      </w:r>
      <w:r>
        <w:rPr>
          <w:bCs/>
          <w:b/>
        </w:rPr>
        <w:t xml:space="preserve">Email:</w:t>
      </w:r>
      <w:r>
        <w:t xml:space="preserve"> </w:t>
      </w:r>
      <w:r>
        <w:t xml:space="preserve">ahmed.m@qsisolutions.qa</w:t>
      </w:r>
      <w:r>
        <w:br/>
      </w:r>
      <w:r>
        <w:rPr>
          <w:bCs/>
          <w:b/>
        </w:rPr>
        <w:t xml:space="preserve">Phone:</w:t>
      </w:r>
      <w:r>
        <w:t xml:space="preserve"> </w:t>
      </w:r>
      <w:r>
        <w:t xml:space="preserve">+974 4412 3456</w:t>
      </w:r>
    </w:p>
    <w:bookmarkEnd w:id="22"/>
    <w:bookmarkStart w:id="23" w:name="bill-to-client"/>
    <w:p>
      <w:pPr>
        <w:pStyle w:val="Heading3"/>
      </w:pPr>
      <w:r>
        <w:t xml:space="preserve">Bill To (Client)</w:t>
      </w:r>
    </w:p>
    <w:p>
      <w:pPr>
        <w:pStyle w:val="FirstParagraph"/>
      </w:pPr>
      <w:r>
        <w:rPr>
          <w:bCs/>
          <w:b/>
        </w:rPr>
        <w:t xml:space="preserve">Client Name:</w:t>
      </w:r>
      <w:r>
        <w:t xml:space="preserve"> </w:t>
      </w:r>
      <w:r>
        <w:t xml:space="preserve">Horizon Tech Enterprises</w:t>
      </w:r>
      <w:r>
        <w:br/>
      </w:r>
      <w:r>
        <w:rPr>
          <w:bCs/>
          <w:b/>
        </w:rPr>
        <w:t xml:space="preserve">Attn:</w:t>
      </w:r>
      <w:r>
        <w:t xml:space="preserve"> </w:t>
      </w:r>
      <w:r>
        <w:t xml:space="preserve">Procurement Department</w:t>
      </w:r>
      <w:r>
        <w:br/>
      </w:r>
      <w:r>
        <w:rPr>
          <w:bCs/>
          <w:b/>
        </w:rPr>
        <w:t xml:space="preserve">Address:</w:t>
      </w:r>
      <w:r>
        <w:t xml:space="preserve"> </w:t>
      </w:r>
      <w:r>
        <w:t xml:space="preserve">West Bay, Tower 7, Floor 15</w:t>
      </w:r>
      <w:r>
        <w:br/>
      </w:r>
      <w:r>
        <w:t xml:space="preserve">Doha, Qatar</w:t>
      </w:r>
      <w:r>
        <w:br/>
      </w:r>
      <w:r>
        <w:rPr>
          <w:bCs/>
          <w:b/>
        </w:rPr>
        <w:t xml:space="preserve">Phone:</w:t>
      </w:r>
      <w:r>
        <w:t xml:space="preserve"> </w:t>
      </w:r>
      <w:r>
        <w:t xml:space="preserve">+974 4499 8877</w:t>
      </w:r>
    </w:p>
    <w:bookmarkEnd w:id="23"/>
    <w:bookmarkStart w:id="24" w:name="X377d805bbb86d5d1c8b1da4b87e5fa3b1252b6c"/>
    <w:p>
      <w:pPr>
        <w:pStyle w:val="Heading3"/>
      </w:pPr>
      <w:r>
        <w:t xml:space="preserve">Scope of Work: Systems Engineering &amp; Infrastructure Optimization</w:t>
      </w:r>
    </w:p>
    <w:p>
      <w:pPr>
        <w:pStyle w:val="FirstParagraph"/>
      </w:pPr>
      <w:r>
        <w:t xml:space="preserve">This invoice covers the professional services rendered by our certified Systems Engineer team in Doha, Qatar. The project involved a comprehensive overhaul of the client's on-premise server infrastructure and the migration of critical workloads to a hybrid cloud environment compliant with Qatar's data sovereignty regulations.</w:t>
      </w:r>
    </w:p>
    <w:p>
      <w:pPr>
        <w:pStyle w:val="BodyText"/>
      </w:pPr>
      <w:r>
        <w:t xml:space="preserve">The Systems Engineer was responsible for designing the network architecture, implementing high-availability clusters, and ensuring seamless integration with existing legacy systems. Special attention was given to cybersecurity protocols, aligning with the National Cyber Security Agency (NCSA) guidelines of Qatar. The work included physical hardware installation at the Doha data center, configuration of virtualization platforms, and extensive load testing to guarantee system stability under peak operational conditions.</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rPr>
                <w:bCs/>
                <w:b/>
              </w:rPr>
              <w:t xml:space="preserve">Infrastructure Assessment &amp; Design</w:t>
            </w:r>
            <w:r>
              <w:br/>
            </w:r>
            <w:r>
              <w:t xml:space="preserve">Comprehensive audit of existing hardware and network topology in Doha office. Creation of detailed system architecture diagrams.</w:t>
            </w:r>
          </w:p>
        </w:tc>
        <w:tc>
          <w:tcPr/>
          <w:p>
            <w:pPr>
              <w:pStyle w:val="Compact"/>
              <w:jc w:val="left"/>
            </w:pPr>
            <w:r>
              <w:t xml:space="preserve">40 Hours</w:t>
            </w:r>
          </w:p>
        </w:tc>
        <w:tc>
          <w:tcPr/>
          <w:p>
            <w:pPr>
              <w:pStyle w:val="Compact"/>
              <w:jc w:val="left"/>
            </w:pPr>
            <w:r>
              <w:t xml:space="preserve">350.00</w:t>
            </w:r>
          </w:p>
        </w:tc>
        <w:tc>
          <w:tcPr/>
          <w:p>
            <w:pPr>
              <w:pStyle w:val="Compact"/>
              <w:jc w:val="left"/>
            </w:pPr>
            <w:r>
              <w:t xml:space="preserve">14,000.00</w:t>
            </w:r>
          </w:p>
        </w:tc>
      </w:tr>
      <w:tr>
        <w:tc>
          <w:tcPr/>
          <w:p>
            <w:pPr>
              <w:pStyle w:val="Compact"/>
              <w:jc w:val="left"/>
            </w:pPr>
            <w:r>
              <w:rPr>
                <w:bCs/>
                <w:b/>
              </w:rPr>
              <w:t xml:space="preserve">Server Migration &amp; Virtualization</w:t>
            </w:r>
            <w:r>
              <w:br/>
            </w:r>
            <w:r>
              <w:t xml:space="preserve">Migration of 15 physical servers to VMware vSphere environment. Configuration of storage area networks (SAN).</w:t>
            </w:r>
          </w:p>
        </w:tc>
        <w:tc>
          <w:tcPr/>
          <w:p>
            <w:pPr>
              <w:pStyle w:val="Compact"/>
              <w:jc w:val="left"/>
            </w:pPr>
            <w:r>
              <w:t xml:space="preserve">60 Hours</w:t>
            </w:r>
          </w:p>
        </w:tc>
        <w:tc>
          <w:tcPr/>
          <w:p>
            <w:pPr>
              <w:pStyle w:val="Compact"/>
              <w:jc w:val="left"/>
            </w:pPr>
            <w:r>
              <w:t xml:space="preserve">350.00</w:t>
            </w:r>
          </w:p>
        </w:tc>
        <w:tc>
          <w:tcPr/>
          <w:p>
            <w:pPr>
              <w:pStyle w:val="Compact"/>
              <w:jc w:val="left"/>
            </w:pPr>
            <w:r>
              <w:t xml:space="preserve">21,000.00</w:t>
            </w:r>
          </w:p>
        </w:tc>
      </w:tr>
      <w:tr>
        <w:tc>
          <w:tcPr/>
          <w:p>
            <w:pPr>
              <w:pStyle w:val="Compact"/>
              <w:jc w:val="left"/>
            </w:pPr>
            <w:r>
              <w:rPr>
                <w:bCs/>
                <w:b/>
              </w:rPr>
              <w:t xml:space="preserve">Network Security Implementation</w:t>
            </w:r>
            <w:r>
              <w:br/>
            </w:r>
            <w:r>
              <w:t xml:space="preserve">Deployment of firewalls, intrusion detection systems, and encryption protocols compliant with Qatar local regulations.</w:t>
            </w:r>
          </w:p>
        </w:tc>
        <w:tc>
          <w:tcPr/>
          <w:p>
            <w:pPr>
              <w:pStyle w:val="Compact"/>
              <w:jc w:val="left"/>
            </w:pPr>
            <w:r>
              <w:t xml:space="preserve">30 Hours</w:t>
            </w:r>
          </w:p>
        </w:tc>
        <w:tc>
          <w:tcPr/>
          <w:p>
            <w:pPr>
              <w:pStyle w:val="Compact"/>
              <w:jc w:val="left"/>
            </w:pPr>
            <w:r>
              <w:t xml:space="preserve">400.00</w:t>
            </w:r>
          </w:p>
        </w:tc>
        <w:tc>
          <w:tcPr/>
          <w:p>
            <w:pPr>
              <w:pStyle w:val="Compact"/>
              <w:jc w:val="left"/>
            </w:pPr>
            <w:r>
              <w:t xml:space="preserve">12,000.00</w:t>
            </w:r>
          </w:p>
        </w:tc>
      </w:tr>
      <w:tr>
        <w:tc>
          <w:tcPr/>
          <w:p>
            <w:pPr>
              <w:pStyle w:val="Compact"/>
              <w:jc w:val="left"/>
            </w:pPr>
            <w:r>
              <w:rPr>
                <w:bCs/>
                <w:b/>
              </w:rPr>
              <w:t xml:space="preserve">Systems Optimization &amp; Tuning</w:t>
            </w:r>
            <w:r>
              <w:br/>
            </w:r>
            <w:r>
              <w:t xml:space="preserve">Performance tuning of database servers and application layers to ensure low latency for end-users in Doha.</w:t>
            </w:r>
          </w:p>
        </w:tc>
        <w:tc>
          <w:tcPr/>
          <w:p>
            <w:pPr>
              <w:pStyle w:val="Compact"/>
              <w:jc w:val="left"/>
            </w:pPr>
            <w:r>
              <w:t xml:space="preserve">20 Hours</w:t>
            </w:r>
          </w:p>
        </w:tc>
        <w:tc>
          <w:tcPr/>
          <w:p>
            <w:pPr>
              <w:pStyle w:val="Compact"/>
              <w:jc w:val="left"/>
            </w:pPr>
            <w:r>
              <w:t xml:space="preserve">350.00</w:t>
            </w:r>
          </w:p>
        </w:tc>
        <w:tc>
          <w:tcPr/>
          <w:p>
            <w:pPr>
              <w:pStyle w:val="Compact"/>
              <w:jc w:val="left"/>
            </w:pPr>
            <w:r>
              <w:t xml:space="preserve">7,000.00</w:t>
            </w:r>
          </w:p>
        </w:tc>
      </w:tr>
      <w:tr>
        <w:tc>
          <w:tcPr/>
          <w:p>
            <w:pPr>
              <w:pStyle w:val="Compact"/>
              <w:jc w:val="left"/>
            </w:pPr>
            <w:r>
              <w:rPr>
                <w:bCs/>
                <w:b/>
              </w:rPr>
              <w:t xml:space="preserve">Staff Training &amp; Documentation</w:t>
            </w:r>
            <w:r>
              <w:br/>
            </w:r>
            <w:r>
              <w:t xml:space="preserve">Training sessions for internal IT staff on new systems and handover of technical documentation.</w:t>
            </w:r>
          </w:p>
        </w:tc>
        <w:tc>
          <w:tcPr/>
          <w:p>
            <w:pPr>
              <w:pStyle w:val="Compact"/>
              <w:jc w:val="left"/>
            </w:pPr>
            <w:r>
              <w:t xml:space="preserve">10 Hours</w:t>
            </w:r>
          </w:p>
        </w:tc>
        <w:tc>
          <w:tcPr/>
          <w:p>
            <w:pPr>
              <w:pStyle w:val="Compact"/>
              <w:jc w:val="left"/>
            </w:pPr>
            <w:r>
              <w:t xml:space="preserve">300.00</w:t>
            </w:r>
          </w:p>
        </w:tc>
        <w:tc>
          <w:tcPr/>
          <w:p>
            <w:pPr>
              <w:pStyle w:val="Compact"/>
              <w:jc w:val="left"/>
            </w:pPr>
            <w:r>
              <w:t xml:space="preserve">3,000.00</w:t>
            </w:r>
          </w:p>
        </w:tc>
      </w:tr>
    </w:tbl>
    <w:p>
      <w:pPr>
        <w:pStyle w:val="BodyText"/>
      </w:pPr>
      <w:r>
        <w:t xml:space="preserve">Subtotal:</w:t>
      </w:r>
      <w:r>
        <w:t xml:space="preserve"> </w:t>
      </w:r>
      <w:r>
        <w:t xml:space="preserve">57,000.00 QAR</w:t>
      </w:r>
    </w:p>
    <w:p>
      <w:pPr>
        <w:pStyle w:val="BodyText"/>
      </w:pPr>
      <w:r>
        <w:t xml:space="preserve">VAT (0% - Exempt under specific conditions):</w:t>
      </w:r>
      <w:r>
        <w:t xml:space="preserve"> </w:t>
      </w:r>
      <w:r>
        <w:t xml:space="preserve">0.00 QAR</w:t>
      </w:r>
    </w:p>
    <w:p>
      <w:pPr>
        <w:pStyle w:val="BodyText"/>
      </w:pPr>
      <w:r>
        <w:t xml:space="preserve">Total Due:</w:t>
      </w:r>
      <w:r>
        <w:t xml:space="preserve"> </w:t>
      </w:r>
      <w:r>
        <w:t xml:space="preserve">57,000.00 QAR</w:t>
      </w:r>
    </w:p>
    <w:bookmarkStart w:id="25" w:name="payment-terms-conditions"/>
    <w:p>
      <w:pPr>
        <w:pStyle w:val="Heading4"/>
      </w:pPr>
      <w:r>
        <w:t xml:space="preserve">Payment Terms &amp; Conditions</w:t>
      </w:r>
    </w:p>
    <w:p>
      <w:pPr>
        <w:numPr>
          <w:ilvl w:val="0"/>
          <w:numId w:val="1001"/>
        </w:numPr>
        <w:pStyle w:val="Compact"/>
      </w:pPr>
      <w:r>
        <w:rPr>
          <w:bCs/>
          <w:b/>
        </w:rPr>
        <w:t xml:space="preserve">Currency:</w:t>
      </w:r>
      <w:r>
        <w:t xml:space="preserve"> </w:t>
      </w:r>
      <w:r>
        <w:t xml:space="preserve">All amounts are quoted in Qatari Riyals (QAR).</w:t>
      </w:r>
    </w:p>
    <w:p>
      <w:pPr>
        <w:numPr>
          <w:ilvl w:val="0"/>
          <w:numId w:val="1001"/>
        </w:numPr>
        <w:pStyle w:val="Compact"/>
      </w:pPr>
      <w:r>
        <w:rPr>
          <w:bCs/>
          <w:b/>
        </w:rPr>
        <w:t xml:space="preserve">Payment Method:</w:t>
      </w:r>
      <w:r>
        <w:t xml:space="preserve"> </w:t>
      </w:r>
      <w:r>
        <w:t xml:space="preserve">Bank Transfer (SWIFT) to Qatar National Bank (QNB).</w:t>
      </w:r>
    </w:p>
    <w:p>
      <w:pPr>
        <w:numPr>
          <w:ilvl w:val="0"/>
          <w:numId w:val="1001"/>
        </w:numPr>
        <w:pStyle w:val="Compact"/>
      </w:pPr>
      <w:r>
        <w:rPr>
          <w:bCs/>
          <w:b/>
        </w:rPr>
        <w:t xml:space="preserve">Due Date:</w:t>
      </w:r>
      <w:r>
        <w:t xml:space="preserve"> </w:t>
      </w:r>
      <w:r>
        <w:t xml:space="preserve">Payment is due within 30 days of the invoice date.</w:t>
      </w:r>
    </w:p>
    <w:p>
      <w:pPr>
        <w:numPr>
          <w:ilvl w:val="0"/>
          <w:numId w:val="1001"/>
        </w:numPr>
        <w:pStyle w:val="Compact"/>
      </w:pPr>
      <w:r>
        <w:rPr>
          <w:bCs/>
          <w:b/>
        </w:rPr>
        <w:t xml:space="preserve">Late Fees:</w:t>
      </w:r>
      <w:r>
        <w:t xml:space="preserve"> </w:t>
      </w:r>
      <w:r>
        <w:t xml:space="preserve">A late fee of 2% per month will be applied to overdue balances.</w:t>
      </w:r>
    </w:p>
    <w:p>
      <w:pPr>
        <w:numPr>
          <w:ilvl w:val="0"/>
          <w:numId w:val="1001"/>
        </w:numPr>
        <w:pStyle w:val="Compact"/>
      </w:pPr>
      <w:r>
        <w:rPr>
          <w:bCs/>
          <w:b/>
        </w:rPr>
        <w:t xml:space="preserve">Disputes:</w:t>
      </w:r>
      <w:r>
        <w:t xml:space="preserve"> </w:t>
      </w:r>
      <w:r>
        <w:t xml:space="preserve">Any discrepancies must be reported within 7 days of receipt.</w:t>
      </w:r>
    </w:p>
    <w:bookmarkEnd w:id="25"/>
    <w:bookmarkStart w:id="26" w:name="bank-details"/>
    <w:p>
      <w:pPr>
        <w:pStyle w:val="Heading4"/>
      </w:pPr>
      <w:r>
        <w:t xml:space="preserve">Bank Details</w:t>
      </w:r>
    </w:p>
    <w:p>
      <w:pPr>
        <w:pStyle w:val="FirstParagraph"/>
      </w:pPr>
      <w:r>
        <w:rPr>
          <w:bCs/>
          <w:b/>
        </w:rPr>
        <w:t xml:space="preserve">Bank Name:</w:t>
      </w:r>
      <w:r>
        <w:t xml:space="preserve"> </w:t>
      </w:r>
      <w:r>
        <w:t xml:space="preserve">Qatar National Bank (QNB)</w:t>
      </w:r>
      <w:r>
        <w:br/>
      </w:r>
      <w:r>
        <w:rPr>
          <w:bCs/>
          <w:b/>
        </w:rPr>
        <w:t xml:space="preserve">Account Name:</w:t>
      </w:r>
      <w:r>
        <w:t xml:space="preserve"> </w:t>
      </w:r>
      <w:r>
        <w:t xml:space="preserve">Qatar Systems Integration &amp; Solutions</w:t>
      </w:r>
      <w:r>
        <w:br/>
      </w:r>
      <w:r>
        <w:rPr>
          <w:bCs/>
          <w:b/>
        </w:rPr>
        <w:t xml:space="preserve">IBAN:</w:t>
      </w:r>
      <w:r>
        <w:t xml:space="preserve"> </w:t>
      </w:r>
      <w:r>
        <w:t xml:space="preserve">QA30 XXXX XXXX XXXX XXXX XXXX</w:t>
      </w:r>
      <w:r>
        <w:br/>
      </w:r>
      <w:r>
        <w:rPr>
          <w:bCs/>
          <w:b/>
        </w:rPr>
        <w:t xml:space="preserve">SWIFT Code:</w:t>
      </w:r>
      <w:r>
        <w:t xml:space="preserve"> </w:t>
      </w:r>
      <w:r>
        <w:t xml:space="preserve">QNBQQAQA</w:t>
      </w:r>
    </w:p>
    <w:bookmarkEnd w:id="26"/>
    <w:p>
      <w:pPr>
        <w:pStyle w:val="BodyText"/>
      </w:pPr>
      <w:r>
        <w:t xml:space="preserve">Thank you for choosing our Systems Engineering services in Doha, Qatar.</w:t>
      </w:r>
      <w:r>
        <w:br/>
      </w:r>
      <w:r>
        <w:t xml:space="preserve">This invoice is generated electronically and is valid without a signature.</w:t>
      </w:r>
      <w:r>
        <w:br/>
      </w:r>
      <w:r>
        <w:t xml:space="preserve">For support, contact: support@qsisolutions.qa | +974 4412 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 - Doha, Qatar</dc:title>
  <dc:creator/>
  <dc:language>en</dc:language>
  <cp:keywords/>
  <dcterms:created xsi:type="dcterms:W3CDTF">2026-10-10T01:02:56Z</dcterms:created>
  <dcterms:modified xsi:type="dcterms:W3CDTF">2026-10-10T01:02:56Z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