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barcelona-systems-solutions"/>
    <w:p>
      <w:pPr>
        <w:pStyle w:val="Heading1"/>
      </w:pPr>
      <w:r>
        <w:t xml:space="preserve">Barcelona Systems Solutions</w:t>
      </w:r>
    </w:p>
    <w:p>
      <w:pPr>
        <w:pStyle w:val="FirstParagraph"/>
      </w:pPr>
      <w:r>
        <w:t xml:space="preserve">Av. Diagonal, 640, 08017 Barcelona, Spain</w:t>
      </w:r>
    </w:p>
    <w:p>
      <w:pPr>
        <w:pStyle w:val="BodyText"/>
      </w:pPr>
      <w:r>
        <w:t xml:space="preserve">NIF: B-65432109</w:t>
      </w:r>
    </w:p>
    <w:p>
      <w:pPr>
        <w:pStyle w:val="BodyText"/>
      </w:pPr>
      <w:r>
        <w:t xml:space="preserve">Email: billing@barcelonasystems.es</w:t>
      </w:r>
    </w:p>
    <w:p>
      <w:pPr>
        <w:pStyle w:val="BodyText"/>
      </w:pPr>
      <w:r>
        <w:t xml:space="preserve">Phone: +34 93 123 45 67</w:t>
      </w:r>
    </w:p>
    <w:bookmarkEnd w:id="20"/>
    <w:bookmarkStart w:id="21" w:name="invoice"/>
    <w:p>
      <w:pPr>
        <w:pStyle w:val="Heading2"/>
      </w:pPr>
      <w:r>
        <w:t xml:space="preserve">INVOICE</w:t>
      </w:r>
    </w:p>
    <w:bookmarkEnd w:id="21"/>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Start w:id="22" w:name="bill-to"/>
    <w:p>
      <w:pPr>
        <w:pStyle w:val="Heading3"/>
      </w:pPr>
      <w:r>
        <w:t xml:space="preserve">Bill To</w:t>
      </w:r>
    </w:p>
    <w:p>
      <w:pPr>
        <w:pStyle w:val="FirstParagraph"/>
      </w:pPr>
      <w:r>
        <w:rPr>
          <w:bCs/>
          <w:b/>
        </w:rPr>
        <w:t xml:space="preserve">TechGlobal Innovations S.L.</w:t>
      </w:r>
    </w:p>
    <w:p>
      <w:pPr>
        <w:pStyle w:val="BodyText"/>
      </w:pPr>
      <w:r>
        <w:t xml:space="preserve">Carrer de Balmes, 150</w:t>
      </w:r>
    </w:p>
    <w:p>
      <w:pPr>
        <w:pStyle w:val="BodyText"/>
      </w:pPr>
      <w:r>
        <w:t xml:space="preserve">08008 Barcelona, Spain</w:t>
      </w:r>
    </w:p>
    <w:p>
      <w:pPr>
        <w:pStyle w:val="BodyText"/>
      </w:pPr>
      <w:r>
        <w:t xml:space="preserve">NIF: B-12345678</w:t>
      </w:r>
    </w:p>
    <w:bookmarkEnd w:id="22"/>
    <w:bookmarkStart w:id="23" w:name="service-location"/>
    <w:p>
      <w:pPr>
        <w:pStyle w:val="Heading3"/>
      </w:pPr>
      <w:r>
        <w:t xml:space="preserve">Service Location</w:t>
      </w:r>
    </w:p>
    <w:p>
      <w:pPr>
        <w:pStyle w:val="FirstParagraph"/>
      </w:pPr>
      <w:r>
        <w:rPr>
          <w:bCs/>
          <w:b/>
        </w:rPr>
        <w:t xml:space="preserve">Client Data Center</w:t>
      </w:r>
    </w:p>
    <w:p>
      <w:pPr>
        <w:pStyle w:val="BodyText"/>
      </w:pPr>
      <w:r>
        <w:t xml:space="preserve">Zona Franca, Moll de Barcelona</w:t>
      </w:r>
    </w:p>
    <w:p>
      <w:pPr>
        <w:pStyle w:val="BodyText"/>
      </w:pPr>
      <w:r>
        <w:t xml:space="preserve">08039 Barcelona, Spain</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Senior Systems Engineer Consultation &amp; Architecture Design</w:t>
            </w:r>
            <w:r>
              <w:br/>
            </w:r>
            <w:r>
              <w:t xml:space="preserve">Comprehensive analysis of existing infrastructure in Spain Barcelona. Development of a scalable cloud-hybrid architecture strategy tailored to local compliance requirements. Includes stakeholder meetings and technical documentation.</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w:t>
            </w:r>
          </w:p>
        </w:tc>
      </w:tr>
      <w:tr>
        <w:tc>
          <w:tcPr/>
          <w:p>
            <w:pPr>
              <w:pStyle w:val="Compact"/>
              <w:jc w:val="left"/>
            </w:pPr>
            <w:r>
              <w:rPr>
                <w:bCs/>
                <w:b/>
              </w:rPr>
              <w:t xml:space="preserve">Linux Server Hardening &amp; Configuration</w:t>
            </w:r>
            <w:r>
              <w:br/>
            </w:r>
            <w:r>
              <w:t xml:space="preserve">Implementation of security best practices on Red Hat Enterprise Linux servers. Configuration of firewalls, SSH key management, and kernel parameter tuning for high-performance computing environments located in Barcelona.</w:t>
            </w:r>
          </w:p>
        </w:tc>
        <w:tc>
          <w:tcPr/>
          <w:p>
            <w:pPr>
              <w:pStyle w:val="Compact"/>
              <w:jc w:val="left"/>
            </w:pPr>
            <w:r>
              <w:t xml:space="preserve">24.0</w:t>
            </w:r>
          </w:p>
        </w:tc>
        <w:tc>
          <w:tcPr/>
          <w:p>
            <w:pPr>
              <w:pStyle w:val="Compact"/>
              <w:jc w:val="left"/>
            </w:pPr>
            <w:r>
              <w:t xml:space="preserve">110.00</w:t>
            </w:r>
          </w:p>
        </w:tc>
        <w:tc>
          <w:tcPr/>
          <w:p>
            <w:pPr>
              <w:pStyle w:val="Compact"/>
              <w:jc w:val="left"/>
            </w:pPr>
            <w:r>
              <w:t xml:space="preserve">2,640.00</w:t>
            </w:r>
          </w:p>
        </w:tc>
      </w:tr>
      <w:tr>
        <w:tc>
          <w:tcPr/>
          <w:p>
            <w:pPr>
              <w:pStyle w:val="Compact"/>
              <w:jc w:val="left"/>
            </w:pPr>
            <w:r>
              <w:rPr>
                <w:bCs/>
                <w:b/>
              </w:rPr>
              <w:t xml:space="preserve">Containerization &amp; Kubernetes Cluster Setup</w:t>
            </w:r>
            <w:r>
              <w:br/>
            </w:r>
            <w:r>
              <w:t xml:space="preserve">Deployment of a production-ready Kubernetes cluster. Migration of legacy applications into Docker containers. Optimization of resource allocation and networking policies to ensure stability within the Spanish data center ecosystem.</w:t>
            </w:r>
          </w:p>
        </w:tc>
        <w:tc>
          <w:tcPr/>
          <w:p>
            <w:pPr>
              <w:pStyle w:val="Compact"/>
              <w:jc w:val="left"/>
            </w:pPr>
            <w:r>
              <w:t xml:space="preserve">32.0</w:t>
            </w:r>
          </w:p>
        </w:tc>
        <w:tc>
          <w:tcPr/>
          <w:p>
            <w:pPr>
              <w:pStyle w:val="Compact"/>
              <w:jc w:val="left"/>
            </w:pPr>
            <w:r>
              <w:t xml:space="preserve">130.00</w:t>
            </w:r>
          </w:p>
        </w:tc>
        <w:tc>
          <w:tcPr/>
          <w:p>
            <w:pPr>
              <w:pStyle w:val="Compact"/>
              <w:jc w:val="left"/>
            </w:pPr>
            <w:r>
              <w:t xml:space="preserve">4,160.00</w:t>
            </w:r>
          </w:p>
        </w:tc>
      </w:tr>
      <w:tr>
        <w:tc>
          <w:tcPr/>
          <w:p>
            <w:pPr>
              <w:pStyle w:val="Compact"/>
              <w:jc w:val="left"/>
            </w:pPr>
            <w:r>
              <w:rPr>
                <w:bCs/>
                <w:b/>
              </w:rPr>
              <w:t xml:space="preserve">Automated CI/CD Pipeline Integration</w:t>
            </w:r>
            <w:r>
              <w:br/>
            </w:r>
            <w:r>
              <w:t xml:space="preserve">Design and implementation of Jenkins and GitLab CI pipelines. Integration with monitoring tools to ensure rapid deployment cycles. Training provided to the internal development team in Spain Barcelona on pipeline maintenance.</w:t>
            </w:r>
          </w:p>
        </w:tc>
        <w:tc>
          <w:tcPr/>
          <w:p>
            <w:pPr>
              <w:pStyle w:val="Compact"/>
              <w:jc w:val="left"/>
            </w:pPr>
            <w:r>
              <w:t xml:space="preserve">20.0</w:t>
            </w:r>
          </w:p>
        </w:tc>
        <w:tc>
          <w:tcPr/>
          <w:p>
            <w:pPr>
              <w:pStyle w:val="Compact"/>
              <w:jc w:val="left"/>
            </w:pPr>
            <w:r>
              <w:t xml:space="preserve">115.00</w:t>
            </w:r>
          </w:p>
        </w:tc>
        <w:tc>
          <w:tcPr/>
          <w:p>
            <w:pPr>
              <w:pStyle w:val="Compact"/>
              <w:jc w:val="left"/>
            </w:pPr>
            <w:r>
              <w:t xml:space="preserve">2,300.00</w:t>
            </w:r>
          </w:p>
        </w:tc>
      </w:tr>
      <w:tr>
        <w:tc>
          <w:tcPr/>
          <w:p>
            <w:pPr>
              <w:pStyle w:val="Compact"/>
              <w:jc w:val="left"/>
            </w:pPr>
            <w:r>
              <w:rPr>
                <w:bCs/>
                <w:b/>
              </w:rPr>
              <w:t xml:space="preserve">Disaster Recovery Planning &amp; Testing</w:t>
            </w:r>
            <w:r>
              <w:br/>
            </w:r>
            <w:r>
              <w:t xml:space="preserve">Creation of a robust disaster recovery plan compliant with GDPR and local Spanish regulations. Execution of failover tests to ensure business continuity. Documentation of recovery procedures for the Systems Engineer team.</w:t>
            </w:r>
          </w:p>
        </w:tc>
        <w:tc>
          <w:tcPr/>
          <w:p>
            <w:pPr>
              <w:pStyle w:val="Compact"/>
              <w:jc w:val="left"/>
            </w:pPr>
            <w:r>
              <w:t xml:space="preserve">10.0</w:t>
            </w:r>
          </w:p>
        </w:tc>
        <w:tc>
          <w:tcPr/>
          <w:p>
            <w:pPr>
              <w:pStyle w:val="Compact"/>
              <w:jc w:val="left"/>
            </w:pPr>
            <w:r>
              <w:t xml:space="preserve">140.00</w:t>
            </w:r>
          </w:p>
        </w:tc>
        <w:tc>
          <w:tcPr/>
          <w:p>
            <w:pPr>
              <w:pStyle w:val="Compact"/>
              <w:jc w:val="left"/>
            </w:pPr>
            <w:r>
              <w:t xml:space="preserve">1,400.00</w:t>
            </w:r>
          </w:p>
        </w:tc>
      </w:tr>
    </w:tbl>
    <w:p>
      <w:pPr>
        <w:pStyle w:val="BodyText"/>
      </w:pPr>
      <w:r>
        <w:t xml:space="preserve">Subtotal:</w:t>
      </w:r>
      <w:r>
        <w:t xml:space="preserve"> </w:t>
      </w:r>
      <w:r>
        <w:t xml:space="preserve">12,420.00 EUR</w:t>
      </w:r>
    </w:p>
    <w:p>
      <w:pPr>
        <w:pStyle w:val="BodyText"/>
      </w:pPr>
      <w:r>
        <w:t xml:space="preserve">VAT (IVA 21%):</w:t>
      </w:r>
      <w:r>
        <w:t xml:space="preserve"> </w:t>
      </w:r>
      <w:r>
        <w:t xml:space="preserve">2,608.20 EUR</w:t>
      </w:r>
    </w:p>
    <w:p>
      <w:pPr>
        <w:pStyle w:val="BodyText"/>
      </w:pPr>
      <w:r>
        <w:t xml:space="preserve">TOTAL DUE:</w:t>
      </w:r>
      <w:r>
        <w:t xml:space="preserve"> </w:t>
      </w:r>
      <w:r>
        <w:t xml:space="preserve">15,028.20 EUR</w:t>
      </w:r>
    </w:p>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Banco Santander S.A.</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a certified Systems Engineer as detailed above. All services were performed in accordance with the agreed Statement of Work (SOW) dated September 1, 2023.</w:t>
      </w:r>
    </w:p>
    <w:p>
      <w:pPr>
        <w:pStyle w:val="BodyText"/>
      </w:pPr>
      <w:r>
        <w:t xml:space="preserve">2.</w:t>
      </w:r>
      <w:r>
        <w:t xml:space="preserve"> </w:t>
      </w:r>
      <w:r>
        <w:rPr>
          <w:bCs/>
          <w:b/>
        </w:rPr>
        <w:t xml:space="preserve">Payment Terms:</w:t>
      </w:r>
      <w:r>
        <w:t xml:space="preserve"> </w:t>
      </w:r>
      <w:r>
        <w:t xml:space="preserve">Payment is due within 30 days of the invoice date. Late payments may incur a penalty interest rate of 1.5% per month on the outstanding balance, in accordance with Spanish commercial law.</w:t>
      </w:r>
    </w:p>
    <w:p>
      <w:pPr>
        <w:pStyle w:val="BodyText"/>
      </w:pPr>
      <w:r>
        <w:t xml:space="preserve">3.</w:t>
      </w:r>
      <w:r>
        <w:t xml:space="preserve"> </w:t>
      </w:r>
      <w:r>
        <w:rPr>
          <w:bCs/>
          <w:b/>
        </w:rPr>
        <w:t xml:space="preserve">Intellectual Property:</w:t>
      </w:r>
      <w:r>
        <w:t xml:space="preserve"> </w:t>
      </w:r>
      <w:r>
        <w:t xml:space="preserve">Upon full payment, all deliverables, including architecture diagrams, scripts, and configuration files, become the property of the client. The Systems Engineer retains the right to use anonymized data for portfolio purposes.</w:t>
      </w:r>
    </w:p>
    <w:p>
      <w:pPr>
        <w:pStyle w:val="BodyText"/>
      </w:pPr>
      <w:r>
        <w:t xml:space="preserve">4.</w:t>
      </w:r>
      <w:r>
        <w:t xml:space="preserve"> </w:t>
      </w:r>
      <w:r>
        <w:rPr>
          <w:bCs/>
          <w:b/>
        </w:rPr>
        <w:t xml:space="preserve">Warranty:</w:t>
      </w:r>
      <w:r>
        <w:t xml:space="preserve"> </w:t>
      </w:r>
      <w:r>
        <w:t xml:space="preserve">A 30-day warranty is provided on all configurations and installations. Any issues arising from the work performed during this period will be rectified at no additional cost.</w:t>
      </w:r>
    </w:p>
    <w:p>
      <w:pPr>
        <w:pStyle w:val="BodyText"/>
      </w:pPr>
      <w:r>
        <w:t xml:space="preserve">5.</w:t>
      </w:r>
      <w:r>
        <w:t xml:space="preserve"> </w:t>
      </w:r>
      <w:r>
        <w:rPr>
          <w:bCs/>
          <w:b/>
        </w:rPr>
        <w:t xml:space="preserve">Confidentiality:</w:t>
      </w:r>
      <w:r>
        <w:t xml:space="preserve"> </w:t>
      </w:r>
      <w:r>
        <w:t xml:space="preserve">All information exchanged during the engagement is subject to the Non-Disclosure Agreement (NDA) signed by both parties. The Systems Engineer is committed to maintaining the highest standards of data privacy and security.</w:t>
      </w:r>
    </w:p>
    <w:p>
      <w:pPr>
        <w:pStyle w:val="BodyText"/>
      </w:pPr>
      <w:r>
        <w:t xml:space="preserve">6.</w:t>
      </w:r>
      <w:r>
        <w:t xml:space="preserve"> </w:t>
      </w:r>
      <w:r>
        <w:rPr>
          <w:bCs/>
          <w:b/>
        </w:rPr>
        <w:t xml:space="preserve">Governing Law:</w:t>
      </w:r>
      <w:r>
        <w:t xml:space="preserve"> </w:t>
      </w:r>
      <w:r>
        <w:t xml:space="preserve">This invoice and the services described herein are governed by the laws of Spain. Any disputes arising from this transaction shall be subject to the exclusive jurisdiction of the courts of Barcelona.</w:t>
      </w:r>
    </w:p>
    <w:p>
      <w:pPr>
        <w:pStyle w:val="BodyText"/>
      </w:pPr>
      <w:r>
        <w:t xml:space="preserve">7.</w:t>
      </w:r>
      <w:r>
        <w:t xml:space="preserve"> </w:t>
      </w:r>
      <w:r>
        <w:rPr>
          <w:bCs/>
          <w:b/>
        </w:rPr>
        <w:t xml:space="preserve">Validity:</w:t>
      </w:r>
      <w:r>
        <w:t xml:space="preserve"> </w:t>
      </w:r>
      <w:r>
        <w:t xml:space="preserve">This invoice is valid for 12 months from the date of issue. Please retain this document for your accounting records and tax purposes.</w:t>
      </w:r>
    </w:p>
    <w:bookmarkEnd w:id="25"/>
    <w:p>
      <w:pPr>
        <w:pStyle w:val="BodyText"/>
      </w:pPr>
      <w:r>
        <w:t xml:space="preserve">Thank you for your business. We appreciate the opportunity to support your infrastructure needs in Spain Barcelona.</w:t>
      </w:r>
    </w:p>
    <w:p>
      <w:pPr>
        <w:pStyle w:val="BodyText"/>
      </w:pPr>
      <w:r>
        <w:t xml:space="preserve">Barcelona Systems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2026-10-10T03:05:45Z</dcterms:created>
  <dcterms:modified xsi:type="dcterms:W3CDTF">2026-10-10T03:05:45Z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