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zurich-systems-engineering-ag"/>
    <w:p>
      <w:pPr>
        <w:pStyle w:val="Heading1"/>
      </w:pPr>
      <w:r>
        <w:t xml:space="preserve">Zurich Systems Engineering AG</w:t>
      </w:r>
    </w:p>
    <w:p>
      <w:pPr>
        <w:pStyle w:val="FirstParagraph"/>
      </w:pPr>
      <w:r>
        <w:t xml:space="preserve">Technoparkstrasse 1, 8005 Zurich, Switzerland</w:t>
      </w:r>
    </w:p>
    <w:p>
      <w:pPr>
        <w:pStyle w:val="BodyText"/>
      </w:pPr>
      <w:r>
        <w:t xml:space="preserve">Phone: +41 44 555 0199</w:t>
      </w:r>
    </w:p>
    <w:p>
      <w:pPr>
        <w:pStyle w:val="BodyText"/>
      </w:pPr>
      <w:r>
        <w:t xml:space="preserve">Email: billing@zurichsyseng.ch</w:t>
      </w:r>
    </w:p>
    <w:p>
      <w:pPr>
        <w:pStyle w:val="BodyText"/>
      </w:pPr>
      <w:r>
        <w:t xml:space="preserve">VAT ID: CHE-123.456.789 MWST</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Reference:</w:t>
      </w:r>
      <w:r>
        <w:t xml:space="preserve"> </w:t>
      </w:r>
      <w:r>
        <w:t xml:space="preserve">Project Alpha Infrastructure</w:t>
      </w:r>
    </w:p>
    <w:bookmarkEnd w:id="21"/>
    <w:bookmarkStart w:id="22" w:name="bill-to"/>
    <w:p>
      <w:pPr>
        <w:pStyle w:val="Heading3"/>
      </w:pPr>
      <w:r>
        <w:t xml:space="preserve">Bill To:</w:t>
      </w:r>
    </w:p>
    <w:p>
      <w:pPr>
        <w:pStyle w:val="FirstParagraph"/>
      </w:pPr>
      <w:r>
        <w:rPr>
          <w:bCs/>
          <w:b/>
        </w:rPr>
        <w:t xml:space="preserve">Global FinTech Solutions GmbH</w:t>
      </w:r>
    </w:p>
    <w:p>
      <w:pPr>
        <w:pStyle w:val="BodyText"/>
      </w:pPr>
      <w:r>
        <w:t xml:space="preserve">Bahnhofstrasse 50, 8001 Zurich, Switzerland</w:t>
      </w:r>
    </w:p>
    <w:p>
      <w:pPr>
        <w:pStyle w:val="BodyText"/>
      </w:pPr>
      <w:r>
        <w:t xml:space="preserve">Attn: Procurement Department</w:t>
      </w:r>
    </w:p>
    <w:p>
      <w:pPr>
        <w:pStyle w:val="BodyText"/>
      </w:pPr>
      <w:r>
        <w:t xml:space="preserve">Client ID: GF-8821</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rPr>
                <w:bCs/>
                <w:b/>
              </w:rPr>
              <w:t xml:space="preserve">Senior Systems Engineer Consultation:</w:t>
            </w:r>
            <w:r>
              <w:t xml:space="preserve"> </w:t>
            </w:r>
            <w:r>
              <w:t xml:space="preserve">Comprehensive architectural review of the client's existing on-premise data center infrastructure located in Zurich. This service includes a detailed audit of server virtualization layers, network topology analysis, and identification of single points of failure to ensure high availability compliant with Swiss banking standards.</w:t>
            </w:r>
          </w:p>
        </w:tc>
        <w:tc>
          <w:tcPr/>
          <w:p>
            <w:pPr>
              <w:pStyle w:val="Compact"/>
              <w:jc w:val="left"/>
            </w:pPr>
            <w:r>
              <w:t xml:space="preserve">16.0</w:t>
            </w:r>
          </w:p>
        </w:tc>
        <w:tc>
          <w:tcPr/>
          <w:p>
            <w:pPr>
              <w:pStyle w:val="Compact"/>
              <w:jc w:val="left"/>
            </w:pPr>
            <w:r>
              <w:t xml:space="preserve">280.00</w:t>
            </w:r>
          </w:p>
        </w:tc>
        <w:tc>
          <w:tcPr/>
          <w:p>
            <w:pPr>
              <w:pStyle w:val="Compact"/>
              <w:jc w:val="left"/>
            </w:pPr>
            <w:r>
              <w:t xml:space="preserve">4,480.00</w:t>
            </w:r>
          </w:p>
        </w:tc>
      </w:tr>
      <w:tr>
        <w:tc>
          <w:tcPr/>
          <w:p>
            <w:pPr>
              <w:pStyle w:val="Compact"/>
              <w:jc w:val="left"/>
            </w:pPr>
            <w:r>
              <w:t xml:space="preserve">2</w:t>
            </w:r>
          </w:p>
        </w:tc>
        <w:tc>
          <w:tcPr/>
          <w:p>
            <w:pPr>
              <w:pStyle w:val="Compact"/>
              <w:jc w:val="left"/>
            </w:pPr>
            <w:r>
              <w:rPr>
                <w:bCs/>
                <w:b/>
              </w:rPr>
              <w:t xml:space="preserve">Cloud Migration Strategy &amp; Implementation:</w:t>
            </w:r>
            <w:r>
              <w:t xml:space="preserve"> </w:t>
            </w:r>
            <w:r>
              <w:t xml:space="preserve">Design and execution of a hybrid cloud migration plan. The Systems Engineer facilitated the secure transfer of critical workloads to a compliant cloud environment while maintaining data sovereignty within Switzerland. This includes configuration of secure tunnels, identity management integration, and load balancer setup.</w:t>
            </w:r>
          </w:p>
        </w:tc>
        <w:tc>
          <w:tcPr/>
          <w:p>
            <w:pPr>
              <w:pStyle w:val="Compact"/>
              <w:jc w:val="left"/>
            </w:pPr>
            <w:r>
              <w:t xml:space="preserve">40.0</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3</w:t>
            </w:r>
          </w:p>
        </w:tc>
        <w:tc>
          <w:tcPr/>
          <w:p>
            <w:pPr>
              <w:pStyle w:val="Compact"/>
              <w:jc w:val="left"/>
            </w:pPr>
            <w:r>
              <w:rPr>
                <w:bCs/>
                <w:b/>
              </w:rPr>
              <w:t xml:space="preserve">Security Hardening &amp; Compliance Audit:</w:t>
            </w:r>
            <w:r>
              <w:t xml:space="preserve"> </w:t>
            </w:r>
            <w:r>
              <w:t xml:space="preserve">Implementation of advanced firewall rules, intrusion detection systems (IDS), and endpoint protection protocols. The Systems Engineer ensured all configurations align with FINMA guidelines and ISO 27001 standards, providing a robust security posture for the Zurich-based operations.</w:t>
            </w:r>
          </w:p>
        </w:tc>
        <w:tc>
          <w:tcPr/>
          <w:p>
            <w:pPr>
              <w:pStyle w:val="Compact"/>
              <w:jc w:val="left"/>
            </w:pPr>
            <w:r>
              <w:t xml:space="preserve">24.0</w:t>
            </w:r>
          </w:p>
        </w:tc>
        <w:tc>
          <w:tcPr/>
          <w:p>
            <w:pPr>
              <w:pStyle w:val="Compact"/>
              <w:jc w:val="left"/>
            </w:pPr>
            <w:r>
              <w:t xml:space="preserve">280.00</w:t>
            </w:r>
          </w:p>
        </w:tc>
        <w:tc>
          <w:tcPr/>
          <w:p>
            <w:pPr>
              <w:pStyle w:val="Compact"/>
              <w:jc w:val="left"/>
            </w:pPr>
            <w:r>
              <w:t xml:space="preserve">6,720.00</w:t>
            </w:r>
          </w:p>
        </w:tc>
      </w:tr>
      <w:tr>
        <w:tc>
          <w:tcPr/>
          <w:p>
            <w:pPr>
              <w:pStyle w:val="Compact"/>
              <w:jc w:val="left"/>
            </w:pPr>
            <w:r>
              <w:t xml:space="preserve">4</w:t>
            </w:r>
          </w:p>
        </w:tc>
        <w:tc>
          <w:tcPr/>
          <w:p>
            <w:pPr>
              <w:pStyle w:val="Compact"/>
              <w:jc w:val="left"/>
            </w:pPr>
            <w:r>
              <w:rPr>
                <w:bCs/>
                <w:b/>
              </w:rPr>
              <w:t xml:space="preserve">Automated Infrastructure as Code (IaC):</w:t>
            </w:r>
            <w:r>
              <w:t xml:space="preserve"> </w:t>
            </w:r>
            <w:r>
              <w:t xml:space="preserve">Development of Terraform and Ansible scripts to automate the provisioning and management of infrastructure resources. This reduces manual configuration errors and ensures consistent deployment environments across development, staging, and production servers in the Zurich region.</w:t>
            </w:r>
          </w:p>
        </w:tc>
        <w:tc>
          <w:tcPr/>
          <w:p>
            <w:pPr>
              <w:pStyle w:val="Compact"/>
              <w:jc w:val="left"/>
            </w:pPr>
            <w:r>
              <w:t xml:space="preserve">32.0</w:t>
            </w:r>
          </w:p>
        </w:tc>
        <w:tc>
          <w:tcPr/>
          <w:p>
            <w:pPr>
              <w:pStyle w:val="Compact"/>
              <w:jc w:val="left"/>
            </w:pPr>
            <w:r>
              <w:t xml:space="preserve">280.00</w:t>
            </w:r>
          </w:p>
        </w:tc>
        <w:tc>
          <w:tcPr/>
          <w:p>
            <w:pPr>
              <w:pStyle w:val="Compact"/>
              <w:jc w:val="left"/>
            </w:pPr>
            <w:r>
              <w:t xml:space="preserve">8,960.00</w:t>
            </w:r>
          </w:p>
        </w:tc>
      </w:tr>
      <w:tr>
        <w:tc>
          <w:tcPr/>
          <w:p>
            <w:pPr>
              <w:pStyle w:val="Compact"/>
              <w:jc w:val="left"/>
            </w:pPr>
            <w:r>
              <w:t xml:space="preserve">5</w:t>
            </w:r>
          </w:p>
        </w:tc>
        <w:tc>
          <w:tcPr/>
          <w:p>
            <w:pPr>
              <w:pStyle w:val="Compact"/>
              <w:jc w:val="left"/>
            </w:pPr>
            <w:r>
              <w:rPr>
                <w:bCs/>
                <w:b/>
              </w:rPr>
              <w:t xml:space="preserve">Disaster Recovery Planning:</w:t>
            </w:r>
            <w:r>
              <w:t xml:space="preserve"> </w:t>
            </w:r>
            <w:r>
              <w:t xml:space="preserve">Creation of a comprehensive disaster recovery and business continuity plan. The Systems Engineer configured automated backup solutions with off-site replication and conducted a simulated failover test to verify system resilience and data integrity.</w:t>
            </w:r>
          </w:p>
        </w:tc>
        <w:tc>
          <w:tcPr/>
          <w:p>
            <w:pPr>
              <w:pStyle w:val="Compact"/>
              <w:jc w:val="left"/>
            </w:pPr>
            <w:r>
              <w:t xml:space="preserve">12.0</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6</w:t>
            </w:r>
          </w:p>
        </w:tc>
        <w:tc>
          <w:tcPr/>
          <w:p>
            <w:pPr>
              <w:pStyle w:val="Compact"/>
              <w:jc w:val="left"/>
            </w:pPr>
            <w:r>
              <w:rPr>
                <w:bCs/>
                <w:b/>
              </w:rPr>
              <w:t xml:space="preserve">Technical Documentation &amp; Training:</w:t>
            </w:r>
            <w:r>
              <w:t xml:space="preserve"> </w:t>
            </w:r>
            <w:r>
              <w:t xml:space="preserve">Delivery of detailed technical documentation regarding the new system architecture, network diagrams, and operational runbooks. Additionally, a two-hour training session was conducted for the internal IT staff in Zurich to ensure smooth handover and ongoing maintenance capabilities.</w:t>
            </w:r>
          </w:p>
        </w:tc>
        <w:tc>
          <w:tcPr/>
          <w:p>
            <w:pPr>
              <w:pStyle w:val="Compact"/>
              <w:jc w:val="left"/>
            </w:pPr>
            <w:r>
              <w:t xml:space="preserve">8.0</w:t>
            </w:r>
          </w:p>
        </w:tc>
        <w:tc>
          <w:tcPr/>
          <w:p>
            <w:pPr>
              <w:pStyle w:val="Compact"/>
              <w:jc w:val="left"/>
            </w:pPr>
            <w:r>
              <w:t xml:space="preserve">280.00</w:t>
            </w:r>
          </w:p>
        </w:tc>
        <w:tc>
          <w:tcPr/>
          <w:p>
            <w:pPr>
              <w:pStyle w:val="Compact"/>
              <w:jc w:val="left"/>
            </w:pPr>
            <w:r>
              <w:t xml:space="preserve">2,240.00</w:t>
            </w:r>
          </w:p>
        </w:tc>
      </w:tr>
    </w:tbl>
    <w:p>
      <w:pPr>
        <w:pStyle w:val="BodyText"/>
      </w:pPr>
      <w:r>
        <w:t xml:space="preserve">Subtotal:</w:t>
      </w:r>
      <w:r>
        <w:t xml:space="preserve"> </w:t>
      </w:r>
      <w:r>
        <w:t xml:space="preserve">36,960.00 CHF</w:t>
      </w:r>
    </w:p>
    <w:p>
      <w:pPr>
        <w:pStyle w:val="BodyText"/>
      </w:pPr>
      <w:r>
        <w:t xml:space="preserve">VAT (8.1%):</w:t>
      </w:r>
      <w:r>
        <w:t xml:space="preserve"> </w:t>
      </w:r>
      <w:r>
        <w:t xml:space="preserve">2,993.76 CHF</w:t>
      </w:r>
    </w:p>
    <w:p>
      <w:pPr>
        <w:pStyle w:val="BodyText"/>
      </w:pPr>
      <w:r>
        <w:t xml:space="preserve">Total Due:</w:t>
      </w:r>
      <w:r>
        <w:t xml:space="preserve"> </w:t>
      </w:r>
      <w:r>
        <w:t xml:space="preserve">39,953.76 CHF</w:t>
      </w:r>
    </w:p>
    <w:p>
      <w:pPr>
        <w:pStyle w:val="BodyText"/>
      </w:pPr>
      <w:r>
        <w:t xml:space="preserve">VAT calculated based on the standard Swiss rate applicable to B2B services in Zurich.</w:t>
      </w:r>
    </w:p>
    <w:bookmarkStart w:id="23" w:name="payment-terms-conditions"/>
    <w:p>
      <w:pPr>
        <w:pStyle w:val="Heading4"/>
      </w:pPr>
      <w:r>
        <w:t xml:space="preserve">Payment Terms &amp; Conditions:</w:t>
      </w:r>
    </w:p>
    <w:p>
      <w:pPr>
        <w:numPr>
          <w:ilvl w:val="0"/>
          <w:numId w:val="1001"/>
        </w:numPr>
        <w:pStyle w:val="Compact"/>
      </w:pPr>
      <w:r>
        <w:rPr>
          <w:bCs/>
          <w:b/>
        </w:rPr>
        <w:t xml:space="preserve">Payment Method:</w:t>
      </w:r>
      <w:r>
        <w:t xml:space="preserve"> </w:t>
      </w:r>
      <w:r>
        <w:t xml:space="preserve">Please make payment via bank transfer to the account details below.</w:t>
      </w:r>
    </w:p>
    <w:p>
      <w:pPr>
        <w:numPr>
          <w:ilvl w:val="0"/>
          <w:numId w:val="1001"/>
        </w:numPr>
        <w:pStyle w:val="Compact"/>
      </w:pPr>
      <w:r>
        <w:rPr>
          <w:bCs/>
          <w:b/>
        </w:rPr>
        <w:t xml:space="preserve">Bank Details:</w:t>
      </w:r>
      <w:r>
        <w:br/>
      </w:r>
      <w:r>
        <w:t xml:space="preserve">Bank: Zurich Cantonal Bank (ZKB)</w:t>
      </w:r>
      <w:r>
        <w:br/>
      </w:r>
      <w:r>
        <w:t xml:space="preserve">IBAN: CH93 0076 2011 6238 5295 7</w:t>
      </w:r>
      <w:r>
        <w:br/>
      </w:r>
      <w:r>
        <w:t xml:space="preserve">BIC: ZKBKCHZZ80A</w:t>
      </w:r>
      <w:r>
        <w:br/>
      </w:r>
      <w:r>
        <w:t xml:space="preserve">Reference: INV-2023-10-042</w:t>
      </w:r>
    </w:p>
    <w:p>
      <w:pPr>
        <w:numPr>
          <w:ilvl w:val="0"/>
          <w:numId w:val="1001"/>
        </w:numPr>
        <w:pStyle w:val="Compact"/>
      </w:pPr>
      <w:r>
        <w:rPr>
          <w:bCs/>
          <w:b/>
        </w:rPr>
        <w:t xml:space="preserve">Due Date:</w:t>
      </w:r>
      <w:r>
        <w:t xml:space="preserve"> </w:t>
      </w:r>
      <w:r>
        <w:t xml:space="preserve">Payment is due within 30 days of the invoice date. Late payments may incur interest at a rate of 5% per annum.</w:t>
      </w:r>
    </w:p>
    <w:p>
      <w:pPr>
        <w:numPr>
          <w:ilvl w:val="0"/>
          <w:numId w:val="1001"/>
        </w:numPr>
        <w:pStyle w:val="Compact"/>
      </w:pPr>
      <w:r>
        <w:rPr>
          <w:bCs/>
          <w:b/>
        </w:rPr>
        <w:t xml:space="preserve">Disputes:</w:t>
      </w:r>
      <w:r>
        <w:t xml:space="preserve"> </w:t>
      </w:r>
      <w:r>
        <w:t xml:space="preserve">Any discrepancies regarding this invoice must be reported in writing within 7 days of receipt.</w:t>
      </w:r>
    </w:p>
    <w:p>
      <w:pPr>
        <w:numPr>
          <w:ilvl w:val="0"/>
          <w:numId w:val="1001"/>
        </w:numPr>
        <w:pStyle w:val="Compact"/>
      </w:pPr>
      <w:r>
        <w:rPr>
          <w:bCs/>
          <w:b/>
        </w:rPr>
        <w:t xml:space="preserve">Jurisdiction:</w:t>
      </w:r>
      <w:r>
        <w:t xml:space="preserve"> </w:t>
      </w:r>
      <w:r>
        <w:t xml:space="preserve">This invoice is governed by the laws of Switzerland. Any legal disputes shall be subject to the exclusive jurisdiction of the courts in Zurich.</w:t>
      </w:r>
    </w:p>
    <w:bookmarkEnd w:id="23"/>
    <w:p>
      <w:pPr>
        <w:pStyle w:val="FirstParagraph"/>
      </w:pPr>
      <w:r>
        <w:t xml:space="preserve">Thank you for your business. Zurich Systems Engineering AG is committed to providing top-tier technical solutions.</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2026-10-10T09:32:34Z</dcterms:created>
  <dcterms:modified xsi:type="dcterms:W3CDTF">2026-10-10T09:32:34Z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