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p>
    <w:bookmarkStart w:id="20" w:name="london-systems-engineering-ltd."/>
    <w:p>
      <w:pPr>
        <w:pStyle w:val="Heading1"/>
      </w:pPr>
      <w:r>
        <w:t xml:space="preserve">London Systems Engineering Ltd.</w:t>
      </w:r>
    </w:p>
    <w:p>
      <w:pPr>
        <w:pStyle w:val="FirstParagraph"/>
      </w:pPr>
      <w:r>
        <w:t xml:space="preserve">Professional Systems Engineering Services</w:t>
      </w:r>
    </w:p>
    <w:p>
      <w:pPr>
        <w:pStyle w:val="BodyText"/>
      </w:pPr>
      <w:r>
        <w:t xml:space="preserve">123 Tech Innovation Drive</w:t>
      </w:r>
    </w:p>
    <w:p>
      <w:pPr>
        <w:pStyle w:val="BodyText"/>
      </w:pPr>
      <w:r>
        <w:t xml:space="preserve">Canary Wharf, London E14 5AB</w:t>
      </w:r>
    </w:p>
    <w:p>
      <w:pPr>
        <w:pStyle w:val="BodyText"/>
      </w:pPr>
      <w:r>
        <w:t xml:space="preserve">United Kingdom</w:t>
      </w:r>
    </w:p>
    <w:p>
      <w:pPr>
        <w:pStyle w:val="BodyText"/>
      </w:pPr>
      <w:r>
        <w:t xml:space="preserve">Tel: +44 (0)20 7946 0958</w:t>
      </w:r>
    </w:p>
    <w:p>
      <w:pPr>
        <w:pStyle w:val="BodyText"/>
      </w:pPr>
      <w:r>
        <w:t xml:space="preserve">Email: billing@londonsystems.co.uk</w:t>
      </w:r>
    </w:p>
    <w:p>
      <w:pPr>
        <w:pStyle w:val="BodyText"/>
      </w:pPr>
      <w:r>
        <w:t xml:space="preserve">VAT Registration: GB 123 4567 89</w:t>
      </w:r>
    </w:p>
    <w:bookmarkEnd w:id="20"/>
    <w:bookmarkStart w:id="21" w:name="invoice"/>
    <w:p>
      <w:pPr>
        <w:pStyle w:val="Heading2"/>
      </w:pPr>
      <w:r>
        <w:t xml:space="preserve">INVOICE</w:t>
      </w:r>
    </w:p>
    <w:p>
      <w:pPr>
        <w:pStyle w:val="FirstParagraph"/>
      </w:pPr>
      <w:r>
        <w:t xml:space="preserve">Invoice Number: LSE-2024-0847</w:t>
      </w:r>
    </w:p>
    <w:p>
      <w:pPr>
        <w:pStyle w:val="BodyText"/>
      </w:pPr>
      <w:r>
        <w:t xml:space="preserve">Date Issued: 15th January 2024</w:t>
      </w:r>
    </w:p>
    <w:p>
      <w:pPr>
        <w:pStyle w:val="BodyText"/>
      </w:pPr>
      <w:r>
        <w:t xml:space="preserve">Due Date: 14th February 2024</w:t>
      </w:r>
    </w:p>
    <w:p>
      <w:pPr>
        <w:pStyle w:val="BodyText"/>
      </w:pPr>
      <w:r>
        <w:t xml:space="preserve">Payment Terms: Net 30 Days</w:t>
      </w:r>
    </w:p>
    <w:bookmarkEnd w:id="21"/>
    <w:p>
      <w:pPr>
        <w:pStyle w:val="BodyText"/>
      </w:pPr>
      <w:r>
        <w:rPr>
          <w:bCs/>
          <w:b/>
        </w:rPr>
        <w:t xml:space="preserve">Important VAT Notice:</w:t>
      </w:r>
      <w:r>
        <w:t xml:space="preserve"> </w:t>
      </w:r>
      <w:r>
        <w:t xml:space="preserve">This invoice is issued in accordance with United Kingdom VAT regulations. All prices are exclusive of VAT unless otherwise stated. VAT is calculated at the standard rate of 20% applicable in the United Kingdom.</w:t>
      </w:r>
    </w:p>
    <w:bookmarkStart w:id="22" w:name="bill-to"/>
    <w:p>
      <w:pPr>
        <w:pStyle w:val="Heading3"/>
      </w:pPr>
      <w:r>
        <w:t xml:space="preserve">Bill To:</w:t>
      </w:r>
    </w:p>
    <w:p>
      <w:pPr>
        <w:pStyle w:val="FirstParagraph"/>
      </w:pPr>
      <w:r>
        <w:rPr>
          <w:bCs/>
          <w:b/>
        </w:rPr>
        <w:t xml:space="preserve">Global Financial Services Group plc</w:t>
      </w:r>
    </w:p>
    <w:p>
      <w:pPr>
        <w:pStyle w:val="BodyText"/>
      </w:pPr>
      <w:r>
        <w:t xml:space="preserve">Attn: Chief Technology Officer</w:t>
      </w:r>
    </w:p>
    <w:p>
      <w:pPr>
        <w:pStyle w:val="BodyText"/>
      </w:pPr>
      <w:r>
        <w:t xml:space="preserve">45 Canary Wharf</w:t>
      </w:r>
    </w:p>
    <w:p>
      <w:pPr>
        <w:pStyle w:val="BodyText"/>
      </w:pPr>
      <w:r>
        <w:t xml:space="preserve">London E14 5JP</w:t>
      </w:r>
    </w:p>
    <w:p>
      <w:pPr>
        <w:pStyle w:val="BodyText"/>
      </w:pPr>
      <w:r>
        <w:t xml:space="preserve">United Kingdom</w:t>
      </w:r>
    </w:p>
    <w:p>
      <w:pPr>
        <w:pStyle w:val="BodyText"/>
      </w:pPr>
      <w:r>
        <w:t xml:space="preserve">VAT Registration: GB 987 6543 21</w:t>
      </w:r>
    </w:p>
    <w:p>
      <w:pPr>
        <w:pStyle w:val="BodyText"/>
      </w:pPr>
      <w:r>
        <w:t xml:space="preserve">Project Reference: GFS-IT-INFRA-2024-Q1</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Systems Engineering Services</w:t>
            </w:r>
          </w:p>
        </w:tc>
        <w:tc>
          <w:tcPr/>
          <w:p>
            <w:pPr>
              <w:pStyle w:val="Compact"/>
              <w:jc w:val="left"/>
            </w:pPr>
            <w:r>
              <w:t xml:space="preserve">Hours/Qty</w:t>
            </w:r>
          </w:p>
        </w:tc>
        <w:tc>
          <w:tcPr/>
          <w:p>
            <w:pPr>
              <w:pStyle w:val="Compact"/>
              <w:jc w:val="left"/>
            </w:pPr>
            <w:r>
              <w:t xml:space="preserve">Rate (£)</w:t>
            </w:r>
          </w:p>
        </w:tc>
        <w:tc>
          <w:tcPr/>
          <w:p>
            <w:pPr>
              <w:pStyle w:val="Compact"/>
              <w:jc w:val="left"/>
            </w:pPr>
            <w:r>
              <w:t xml:space="preserve">Amount (£)</w:t>
            </w:r>
          </w:p>
        </w:tc>
        <w:tc>
          <w:tcPr/>
          <w:p>
            <w:pPr>
              <w:pStyle w:val="Compact"/>
              <w:jc w:val="left"/>
            </w:pPr>
            <w:r>
              <w:t xml:space="preserve">VAT (20%)</w:t>
            </w:r>
          </w:p>
        </w:tc>
      </w:tr>
      <w:tr>
        <w:tc>
          <w:tcPr/>
          <w:p>
            <w:pPr>
              <w:pStyle w:val="Compact"/>
              <w:jc w:val="left"/>
            </w:pPr>
            <w:r>
              <w:t xml:space="preserve">1</w:t>
            </w:r>
          </w:p>
        </w:tc>
        <w:tc>
          <w:tcPr/>
          <w:p>
            <w:pPr>
              <w:pStyle w:val="Compact"/>
              <w:jc w:val="left"/>
            </w:pPr>
            <w:r>
              <w:rPr>
                <w:bCs/>
                <w:b/>
              </w:rPr>
              <w:t xml:space="preserve">Infrastructure Architecture Design</w:t>
            </w:r>
            <w:r>
              <w:br/>
            </w:r>
            <w:r>
              <w:t xml:space="preserve">Comprehensive systems engineering consultation for enterprise infrastructure modernization. Includes requirements analysis, technical specification development, and architectural blueprint creation for hybrid cloud deployment across United Kingdom data centres.</w:t>
            </w:r>
          </w:p>
        </w:tc>
        <w:tc>
          <w:tcPr/>
          <w:p>
            <w:pPr>
              <w:pStyle w:val="Compact"/>
              <w:jc w:val="left"/>
            </w:pPr>
            <w:r>
              <w:t xml:space="preserve">40</w:t>
            </w:r>
          </w:p>
        </w:tc>
        <w:tc>
          <w:tcPr/>
          <w:p>
            <w:pPr>
              <w:pStyle w:val="Compact"/>
              <w:jc w:val="left"/>
            </w:pPr>
            <w:r>
              <w:t xml:space="preserve">175.00</w:t>
            </w:r>
          </w:p>
        </w:tc>
        <w:tc>
          <w:tcPr/>
          <w:p>
            <w:pPr>
              <w:pStyle w:val="Compact"/>
              <w:jc w:val="left"/>
            </w:pPr>
            <w:r>
              <w:t xml:space="preserve">7,000.00</w:t>
            </w:r>
          </w:p>
        </w:tc>
        <w:tc>
          <w:tcPr/>
          <w:p>
            <w:pPr>
              <w:pStyle w:val="Compact"/>
              <w:jc w:val="left"/>
            </w:pPr>
            <w:r>
              <w:t xml:space="preserve">1,400.00</w:t>
            </w:r>
          </w:p>
        </w:tc>
      </w:tr>
      <w:tr>
        <w:tc>
          <w:tcPr/>
          <w:p>
            <w:pPr>
              <w:pStyle w:val="Compact"/>
              <w:jc w:val="left"/>
            </w:pPr>
            <w:r>
              <w:t xml:space="preserve">2</w:t>
            </w:r>
          </w:p>
        </w:tc>
        <w:tc>
          <w:tcPr/>
          <w:p>
            <w:pPr>
              <w:pStyle w:val="Compact"/>
              <w:jc w:val="left"/>
            </w:pPr>
            <w:r>
              <w:rPr>
                <w:bCs/>
                <w:b/>
              </w:rPr>
              <w:t xml:space="preserve">Network Security Systems Implementation</w:t>
            </w:r>
            <w:r>
              <w:br/>
            </w:r>
            <w:r>
              <w:t xml:space="preserve">Design and deployment of advanced network security protocols including firewall configuration, intrusion detection systems, and zero-trust architecture implementation. Services performed in compliance with United Kingdom data protection regulations and GDPR requirements.</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c>
          <w:tcPr/>
          <w:p>
            <w:pPr>
              <w:pStyle w:val="Compact"/>
              <w:jc w:val="left"/>
            </w:pPr>
            <w:r>
              <w:t xml:space="preserve">2,220.00</w:t>
            </w:r>
          </w:p>
        </w:tc>
      </w:tr>
      <w:tr>
        <w:tc>
          <w:tcPr/>
          <w:p>
            <w:pPr>
              <w:pStyle w:val="Compact"/>
              <w:jc w:val="left"/>
            </w:pPr>
            <w:r>
              <w:t xml:space="preserve">3</w:t>
            </w:r>
          </w:p>
        </w:tc>
        <w:tc>
          <w:tcPr/>
          <w:p>
            <w:pPr>
              <w:pStyle w:val="Compact"/>
              <w:jc w:val="left"/>
            </w:pPr>
            <w:r>
              <w:rPr>
                <w:bCs/>
                <w:b/>
              </w:rPr>
              <w:t xml:space="preserve">Cloud Migration Engineering</w:t>
            </w:r>
            <w:r>
              <w:br/>
            </w:r>
            <w:r>
              <w:t xml:space="preserve">End-to-end systems engineering support for migration of legacy on-premise systems to AWS cloud infrastructure. Includes load balancing configuration, auto-scaling setup, and disaster recovery planning tailored for United Kingdom operational requirements.</w:t>
            </w:r>
          </w:p>
        </w:tc>
        <w:tc>
          <w:tcPr/>
          <w:p>
            <w:pPr>
              <w:pStyle w:val="Compact"/>
              <w:jc w:val="left"/>
            </w:pPr>
            <w:r>
              <w:t xml:space="preserve">80</w:t>
            </w:r>
          </w:p>
        </w:tc>
        <w:tc>
          <w:tcPr/>
          <w:p>
            <w:pPr>
              <w:pStyle w:val="Compact"/>
              <w:jc w:val="left"/>
            </w:pPr>
            <w:r>
              <w:t xml:space="preserve">195.00</w:t>
            </w:r>
          </w:p>
        </w:tc>
        <w:tc>
          <w:tcPr/>
          <w:p>
            <w:pPr>
              <w:pStyle w:val="Compact"/>
              <w:jc w:val="left"/>
            </w:pPr>
            <w:r>
              <w:t xml:space="preserve">15,600.00</w:t>
            </w:r>
          </w:p>
        </w:tc>
        <w:tc>
          <w:tcPr/>
          <w:p>
            <w:pPr>
              <w:pStyle w:val="Compact"/>
              <w:jc w:val="left"/>
            </w:pPr>
            <w:r>
              <w:t xml:space="preserve">3,120.00</w:t>
            </w:r>
          </w:p>
        </w:tc>
      </w:tr>
      <w:tr>
        <w:tc>
          <w:tcPr/>
          <w:p>
            <w:pPr>
              <w:pStyle w:val="Compact"/>
              <w:jc w:val="left"/>
            </w:pPr>
            <w:r>
              <w:t xml:space="preserve">4</w:t>
            </w:r>
          </w:p>
        </w:tc>
        <w:tc>
          <w:tcPr/>
          <w:p>
            <w:pPr>
              <w:pStyle w:val="Compact"/>
              <w:jc w:val="left"/>
            </w:pPr>
            <w:r>
              <w:rPr>
                <w:bCs/>
                <w:b/>
              </w:rPr>
              <w:t xml:space="preserve">DevOps Pipeline Development</w:t>
            </w:r>
            <w:r>
              <w:br/>
            </w:r>
            <w:r>
              <w:t xml:space="preserve">Implementation of continuous integration and continuous deployment (CI/CD) pipelines using Jenkins, Docker, and Kubernetes. Systems engineering optimization for automated testing, deployment, and monitoring across distributed United Kingdom development teams.</w:t>
            </w:r>
          </w:p>
        </w:tc>
        <w:tc>
          <w:tcPr/>
          <w:p>
            <w:pPr>
              <w:pStyle w:val="Compact"/>
              <w:jc w:val="left"/>
            </w:pPr>
            <w:r>
              <w:t xml:space="preserve">50</w:t>
            </w:r>
          </w:p>
        </w:tc>
        <w:tc>
          <w:tcPr/>
          <w:p>
            <w:pPr>
              <w:pStyle w:val="Compact"/>
              <w:jc w:val="left"/>
            </w:pPr>
            <w:r>
              <w:t xml:space="preserve">180.00</w:t>
            </w:r>
          </w:p>
        </w:tc>
        <w:tc>
          <w:tcPr/>
          <w:p>
            <w:pPr>
              <w:pStyle w:val="Compact"/>
              <w:jc w:val="left"/>
            </w:pPr>
            <w:r>
              <w:t xml:space="preserve">9,000.00</w:t>
            </w:r>
          </w:p>
        </w:tc>
        <w:tc>
          <w:tcPr/>
          <w:p>
            <w:pPr>
              <w:pStyle w:val="Compact"/>
              <w:jc w:val="left"/>
            </w:pPr>
            <w:r>
              <w:t xml:space="preserve">1,800.00</w:t>
            </w:r>
          </w:p>
        </w:tc>
      </w:tr>
      <w:tr>
        <w:tc>
          <w:tcPr/>
          <w:p>
            <w:pPr>
              <w:pStyle w:val="Compact"/>
              <w:jc w:val="left"/>
            </w:pPr>
            <w:r>
              <w:t xml:space="preserve">5</w:t>
            </w:r>
          </w:p>
        </w:tc>
        <w:tc>
          <w:tcPr/>
          <w:p>
            <w:pPr>
              <w:pStyle w:val="Compact"/>
              <w:jc w:val="left"/>
            </w:pPr>
            <w:r>
              <w:rPr>
                <w:bCs/>
                <w:b/>
              </w:rPr>
              <w:t xml:space="preserve">Performance Optimization &amp; Monitoring</w:t>
            </w:r>
            <w:r>
              <w:br/>
            </w:r>
            <w:r>
              <w:t xml:space="preserve">Advanced systems engineering analysis and optimization of application performance. Implementation of comprehensive monitoring solutions using Prometheus and Grafana. Includes capacity planning and performance tuning for peak trading periods in United Kingdom financial markets.</w:t>
            </w:r>
          </w:p>
        </w:tc>
        <w:tc>
          <w:tcPr/>
          <w:p>
            <w:pPr>
              <w:pStyle w:val="Compact"/>
              <w:jc w:val="left"/>
            </w:pPr>
            <w:r>
              <w:t xml:space="preserve">35</w:t>
            </w:r>
          </w:p>
        </w:tc>
        <w:tc>
          <w:tcPr/>
          <w:p>
            <w:pPr>
              <w:pStyle w:val="Compact"/>
              <w:jc w:val="left"/>
            </w:pPr>
            <w:r>
              <w:t xml:space="preserve">170.00</w:t>
            </w:r>
          </w:p>
        </w:tc>
        <w:tc>
          <w:tcPr/>
          <w:p>
            <w:pPr>
              <w:pStyle w:val="Compact"/>
              <w:jc w:val="left"/>
            </w:pPr>
            <w:r>
              <w:t xml:space="preserve">5,950.00</w:t>
            </w:r>
          </w:p>
        </w:tc>
        <w:tc>
          <w:tcPr/>
          <w:p>
            <w:pPr>
              <w:pStyle w:val="Compact"/>
              <w:jc w:val="left"/>
            </w:pPr>
            <w:r>
              <w:t xml:space="preserve">1,190.00</w:t>
            </w:r>
          </w:p>
        </w:tc>
      </w:tr>
      <w:tr>
        <w:tc>
          <w:tcPr/>
          <w:p>
            <w:pPr>
              <w:pStyle w:val="Compact"/>
              <w:jc w:val="left"/>
            </w:pPr>
            <w:r>
              <w:t xml:space="preserve">6</w:t>
            </w:r>
          </w:p>
        </w:tc>
        <w:tc>
          <w:tcPr/>
          <w:p>
            <w:pPr>
              <w:pStyle w:val="Compact"/>
              <w:jc w:val="left"/>
            </w:pPr>
            <w:r>
              <w:rPr>
                <w:bCs/>
                <w:b/>
              </w:rPr>
              <w:t xml:space="preserve">Technical Documentation &amp; Knowledge Transfer</w:t>
            </w:r>
            <w:r>
              <w:br/>
            </w:r>
            <w:r>
              <w:t xml:space="preserve">Preparation of comprehensive systems engineering documentation including architecture diagrams, operational procedures, and maintenance guides. Conducted knowledge transfer sessions for client technical staff based in London offices.</w:t>
            </w:r>
          </w:p>
        </w:tc>
        <w:tc>
          <w:tcPr/>
          <w:p>
            <w:pPr>
              <w:pStyle w:val="Compact"/>
              <w:jc w:val="left"/>
            </w:pPr>
            <w:r>
              <w:t xml:space="preserve">25</w:t>
            </w:r>
          </w:p>
        </w:tc>
        <w:tc>
          <w:tcPr/>
          <w:p>
            <w:pPr>
              <w:pStyle w:val="Compact"/>
              <w:jc w:val="left"/>
            </w:pPr>
            <w:r>
              <w:t xml:space="preserve">160.00</w:t>
            </w:r>
          </w:p>
        </w:tc>
        <w:tc>
          <w:tcPr/>
          <w:p>
            <w:pPr>
              <w:pStyle w:val="Compact"/>
              <w:jc w:val="left"/>
            </w:pPr>
            <w:r>
              <w:t xml:space="preserve">4,000.00</w:t>
            </w:r>
          </w:p>
        </w:tc>
        <w:tc>
          <w:tcPr/>
          <w:p>
            <w:pPr>
              <w:pStyle w:val="Compact"/>
              <w:jc w:val="left"/>
            </w:pPr>
            <w:r>
              <w:t xml:space="preserve">800.00</w:t>
            </w:r>
          </w:p>
        </w:tc>
      </w:tr>
    </w:tbl>
    <w:p>
      <w:pPr>
        <w:pStyle w:val="BodyText"/>
      </w:pPr>
      <w:r>
        <w:t xml:space="preserve">Subtotal:</w:t>
      </w:r>
      <w:r>
        <w:t xml:space="preserve"> </w:t>
      </w:r>
      <w:r>
        <w:t xml:space="preserve">£52,650.00</w:t>
      </w:r>
    </w:p>
    <w:p>
      <w:pPr>
        <w:pStyle w:val="BodyText"/>
      </w:pPr>
      <w:r>
        <w:t xml:space="preserve">VAT (20%):</w:t>
      </w:r>
      <w:r>
        <w:t xml:space="preserve"> </w:t>
      </w:r>
      <w:r>
        <w:t xml:space="preserve">£10,530.00</w:t>
      </w:r>
    </w:p>
    <w:p>
      <w:pPr>
        <w:pStyle w:val="BodyText"/>
      </w:pPr>
      <w:r>
        <w:t xml:space="preserve">TOTAL DUE:</w:t>
      </w:r>
      <w:r>
        <w:t xml:space="preserve"> </w:t>
      </w:r>
      <w:r>
        <w:t xml:space="preserve">£63,180.00</w:t>
      </w:r>
    </w:p>
    <w:bookmarkStart w:id="25" w:name="payment-instructions"/>
    <w:p>
      <w:pPr>
        <w:pStyle w:val="Heading3"/>
      </w:pPr>
      <w:r>
        <w:t xml:space="preserve">Payment Instructions</w:t>
      </w:r>
    </w:p>
    <w:bookmarkStart w:id="23" w:name="bank-transfer-details"/>
    <w:p>
      <w:pPr>
        <w:pStyle w:val="Heading4"/>
      </w:pPr>
      <w:r>
        <w:t xml:space="preserve">Bank Transfer Details</w:t>
      </w:r>
    </w:p>
    <w:p>
      <w:pPr>
        <w:pStyle w:val="FirstParagraph"/>
      </w:pPr>
      <w:r>
        <w:rPr>
          <w:bCs/>
          <w:b/>
        </w:rPr>
        <w:t xml:space="preserve">Bank Name:</w:t>
      </w:r>
      <w:r>
        <w:t xml:space="preserve"> </w:t>
      </w:r>
      <w:r>
        <w:t xml:space="preserve">Barclays Bank PLC</w:t>
      </w:r>
    </w:p>
    <w:p>
      <w:pPr>
        <w:pStyle w:val="BodyText"/>
      </w:pPr>
      <w:r>
        <w:rPr>
          <w:bCs/>
          <w:b/>
        </w:rPr>
        <w:t xml:space="preserve">Account Name:</w:t>
      </w:r>
      <w:r>
        <w:t xml:space="preserve"> </w:t>
      </w:r>
      <w:r>
        <w:t xml:space="preserve">London Systems Engineering Ltd.</w:t>
      </w:r>
    </w:p>
    <w:p>
      <w:pPr>
        <w:pStyle w:val="BodyText"/>
      </w:pPr>
      <w:r>
        <w:rPr>
          <w:bCs/>
          <w:b/>
        </w:rPr>
        <w:t xml:space="preserve">Sort Code:</w:t>
      </w:r>
      <w:r>
        <w:t xml:space="preserve"> </w:t>
      </w:r>
      <w:r>
        <w:t xml:space="preserve">20-00-00</w:t>
      </w:r>
    </w:p>
    <w:p>
      <w:pPr>
        <w:pStyle w:val="BodyText"/>
      </w:pPr>
      <w:r>
        <w:rPr>
          <w:bCs/>
          <w:b/>
        </w:rPr>
        <w:t xml:space="preserve">Account Number:</w:t>
      </w:r>
      <w:r>
        <w:t xml:space="preserve"> </w:t>
      </w:r>
      <w:r>
        <w:t xml:space="preserve">12345678</w:t>
      </w:r>
    </w:p>
    <w:p>
      <w:pPr>
        <w:pStyle w:val="BodyText"/>
      </w:pPr>
      <w:r>
        <w:rPr>
          <w:bCs/>
          <w:b/>
        </w:rPr>
        <w:t xml:space="preserve">IBAN:</w:t>
      </w:r>
      <w:r>
        <w:t xml:space="preserve"> </w:t>
      </w:r>
      <w:r>
        <w:t xml:space="preserve">GB29 BARC 2000 0012 3456 78</w:t>
      </w:r>
    </w:p>
    <w:p>
      <w:pPr>
        <w:pStyle w:val="BodyText"/>
      </w:pPr>
      <w:r>
        <w:rPr>
          <w:bCs/>
          <w:b/>
        </w:rPr>
        <w:t xml:space="preserve">BIC/SWIFT:</w:t>
      </w:r>
      <w:r>
        <w:t xml:space="preserve"> </w:t>
      </w:r>
      <w:r>
        <w:t xml:space="preserve">BARCGB22</w:t>
      </w:r>
    </w:p>
    <w:bookmarkEnd w:id="23"/>
    <w:bookmarkStart w:id="24" w:name="payment-reference"/>
    <w:p>
      <w:pPr>
        <w:pStyle w:val="Heading4"/>
      </w:pPr>
      <w:r>
        <w:t xml:space="preserve">Payment Reference</w:t>
      </w:r>
    </w:p>
    <w:p>
      <w:pPr>
        <w:pStyle w:val="FirstParagraph"/>
      </w:pPr>
      <w:r>
        <w:t xml:space="preserve">Please quote Invoice Number</w:t>
      </w:r>
      <w:r>
        <w:t xml:space="preserve"> </w:t>
      </w:r>
      <w:r>
        <w:rPr>
          <w:bCs/>
          <w:b/>
        </w:rPr>
        <w:t xml:space="preserve">LSE-2024-0847</w:t>
      </w:r>
      <w:r>
        <w:t xml:space="preserve"> </w:t>
      </w:r>
      <w:r>
        <w:t xml:space="preserve">with all payments.</w:t>
      </w:r>
    </w:p>
    <w:p>
      <w:pPr>
        <w:pStyle w:val="BodyText"/>
      </w:pPr>
      <w:r>
        <w:rPr>
          <w:bCs/>
          <w:b/>
        </w:rPr>
        <w:t xml:space="preserve">Currency:</w:t>
      </w:r>
      <w:r>
        <w:t xml:space="preserve"> </w:t>
      </w:r>
      <w:r>
        <w:t xml:space="preserve">British Pounds Sterling (£)</w:t>
      </w:r>
    </w:p>
    <w:p>
      <w:pPr>
        <w:pStyle w:val="BodyText"/>
      </w:pPr>
      <w:r>
        <w:rPr>
          <w:bCs/>
          <w:b/>
        </w:rPr>
        <w:t xml:space="preserve">Due Date:</w:t>
      </w:r>
      <w:r>
        <w:t xml:space="preserve"> </w:t>
      </w:r>
      <w:r>
        <w:t xml:space="preserve">14th February 2024</w:t>
      </w:r>
    </w:p>
    <w:p>
      <w:pPr>
        <w:pStyle w:val="BodyText"/>
      </w:pPr>
      <w:r>
        <w:rPr>
          <w:bCs/>
          <w:b/>
        </w:rPr>
        <w:t xml:space="preserve">Early Payment Discount:</w:t>
      </w:r>
      <w:r>
        <w:t xml:space="preserve"> </w:t>
      </w:r>
      <w:r>
        <w:t xml:space="preserve">2% if paid within 14 days</w:t>
      </w:r>
    </w:p>
    <w:p>
      <w:pPr>
        <w:pStyle w:val="BodyText"/>
      </w:pPr>
      <w:r>
        <w:t xml:space="preserve">For payment queries, please contact our accounts department at accounts@londonsystems.co.uk or call +44 (0)20 7946 0958.</w:t>
      </w:r>
    </w:p>
    <w:bookmarkEnd w:id="24"/>
    <w:bookmarkEnd w:id="25"/>
    <w:bookmarkStart w:id="26" w:name="terms-and-conditions"/>
    <w:p>
      <w:pPr>
        <w:pStyle w:val="Heading4"/>
      </w:pPr>
      <w:r>
        <w:t xml:space="preserve">Terms and Conditions</w:t>
      </w:r>
    </w:p>
    <w:p>
      <w:pPr>
        <w:numPr>
          <w:ilvl w:val="0"/>
          <w:numId w:val="1001"/>
        </w:numPr>
        <w:pStyle w:val="Compact"/>
      </w:pPr>
      <w:r>
        <w:t xml:space="preserve">All services provided by our Systems Engineer team are subject to the terms outlined in our master services agreement dated 1st January 2024.</w:t>
      </w:r>
    </w:p>
    <w:p>
      <w:pPr>
        <w:numPr>
          <w:ilvl w:val="0"/>
          <w:numId w:val="1001"/>
        </w:numPr>
        <w:pStyle w:val="Compact"/>
      </w:pPr>
      <w:r>
        <w:t xml:space="preserve">Payment is due within 30 days of the invoice date. Late payments will incur interest at a rate of 4% above the Bank of England base rate per annum.</w:t>
      </w:r>
    </w:p>
    <w:p>
      <w:pPr>
        <w:numPr>
          <w:ilvl w:val="0"/>
          <w:numId w:val="1001"/>
        </w:numPr>
        <w:pStyle w:val="Compact"/>
      </w:pPr>
      <w:r>
        <w:t xml:space="preserve">All intellectual property rights in deliverables created during this engagement shall be transferred to the client upon full payment of this invoice.</w:t>
      </w:r>
    </w:p>
    <w:p>
      <w:pPr>
        <w:numPr>
          <w:ilvl w:val="0"/>
          <w:numId w:val="1001"/>
        </w:numPr>
        <w:pStyle w:val="Compact"/>
      </w:pPr>
      <w:r>
        <w:t xml:space="preserve">This invoice is governed by the laws of England and Wales. Any disputes shall be subject to the exclusive jurisdiction of the courts of England and Wales.</w:t>
      </w:r>
    </w:p>
    <w:p>
      <w:pPr>
        <w:numPr>
          <w:ilvl w:val="0"/>
          <w:numId w:val="1001"/>
        </w:numPr>
        <w:pStyle w:val="Compact"/>
      </w:pPr>
      <w:r>
        <w:t xml:space="preserve">All systems engineering services are performed in accordance with United Kingdom industry standards and best practices.</w:t>
      </w:r>
    </w:p>
    <w:p>
      <w:pPr>
        <w:numPr>
          <w:ilvl w:val="0"/>
          <w:numId w:val="1001"/>
        </w:numPr>
        <w:pStyle w:val="Compact"/>
      </w:pPr>
      <w:r>
        <w:t xml:space="preserve">VAT is charged in accordance with United Kingdom VAT legislation. If you are VAT registered outside the United Kingdom, please provide your VAT number for reverse charge procedures.</w:t>
      </w:r>
    </w:p>
    <w:p>
      <w:pPr>
        <w:numPr>
          <w:ilvl w:val="0"/>
          <w:numId w:val="1001"/>
        </w:numPr>
        <w:pStyle w:val="Compact"/>
      </w:pPr>
      <w:r>
        <w:t xml:space="preserve">Our Systems Engineer consultants maintain professional indemnity insurance and cyber liability coverage as required for operations in the United Kingdom financial services sector.</w:t>
      </w:r>
    </w:p>
    <w:p>
      <w:pPr>
        <w:numPr>
          <w:ilvl w:val="0"/>
          <w:numId w:val="1001"/>
        </w:numPr>
        <w:pStyle w:val="Compact"/>
      </w:pPr>
      <w:r>
        <w:t xml:space="preserve">Any changes to the scope of work must be agreed upon in writing and may result in additional charges billed separately.</w:t>
      </w:r>
    </w:p>
    <w:bookmarkEnd w:id="26"/>
    <w:p>
      <w:pPr>
        <w:pStyle w:val="FirstParagraph"/>
      </w:pPr>
      <w:r>
        <w:t xml:space="preserve">London Systems Engineering Ltd. | Registered in England &amp; Wales No. 12345678</w:t>
      </w:r>
    </w:p>
    <w:p>
      <w:pPr>
        <w:pStyle w:val="BodyText"/>
      </w:pPr>
      <w:r>
        <w:t xml:space="preserve">Registered Office: 123 Tech Innovation Drive, Canary Wharf, London E14 5AB, United Kingdom</w:t>
      </w:r>
    </w:p>
    <w:p>
      <w:pPr>
        <w:pStyle w:val="BodyText"/>
      </w:pPr>
      <w:r>
        <w:t xml:space="preserve">This is a computer-generated invoice and does not require a signature.</w:t>
      </w:r>
    </w:p>
    <w:p>
      <w:pPr>
        <w:pStyle w:val="BodyText"/>
      </w:pPr>
      <w:r>
        <w:t xml:space="preserve">Thank you for your business. We appreciate your trust in our Systems Engineer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dc:title>
  <dc:creator/>
  <dc:language>en</dc:language>
  <cp:keywords/>
  <dcterms:created xsi:type="dcterms:W3CDTF">2026-10-10T04:08:15Z</dcterms:created>
  <dcterms:modified xsi:type="dcterms:W3CDTF">2026-10-10T04:08:15Z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