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apex-systems-engineering-solutions"/>
    <w:p>
      <w:pPr>
        <w:pStyle w:val="Heading1"/>
      </w:pPr>
      <w:r>
        <w:t xml:space="preserve">Apex Systems Engineering Solutions</w:t>
      </w:r>
    </w:p>
    <w:p>
      <w:pPr>
        <w:pStyle w:val="FirstParagraph"/>
      </w:pPr>
      <w:r>
        <w:t xml:space="preserve">1200 Brickell Avenue, Suite 450</w:t>
      </w:r>
    </w:p>
    <w:p>
      <w:pPr>
        <w:pStyle w:val="BodyText"/>
      </w:pPr>
      <w:r>
        <w:t xml:space="preserve">Miami, FL 33131, United States</w:t>
      </w:r>
    </w:p>
    <w:p>
      <w:pPr>
        <w:pStyle w:val="BodyText"/>
      </w:pPr>
      <w:r>
        <w:t xml:space="preserve">Phone: (305) 555-0199</w:t>
      </w:r>
    </w:p>
    <w:p>
      <w:pPr>
        <w:pStyle w:val="BodyText"/>
      </w:pPr>
      <w:r>
        <w:t xml:space="preserve">Email: billing@apexsystemseng.com</w:t>
      </w:r>
    </w:p>
    <w:p>
      <w:pPr>
        <w:pStyle w:val="BodyText"/>
      </w:pPr>
      <w:r>
        <w:t xml:space="preserve">Federal Tax ID (EIN): 59-1234567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Oceanview Logistics Group</w:t>
      </w:r>
    </w:p>
    <w:p>
      <w:pPr>
        <w:pStyle w:val="BodyText"/>
      </w:pPr>
      <w:r>
        <w:t xml:space="preserve">Attn: Procurement Department</w:t>
      </w:r>
    </w:p>
    <w:p>
      <w:pPr>
        <w:pStyle w:val="BodyText"/>
      </w:pPr>
      <w:r>
        <w:t xml:space="preserve">800 Biscayne Blvd, Suite 1200</w:t>
      </w:r>
    </w:p>
    <w:p>
      <w:pPr>
        <w:pStyle w:val="BodyText"/>
      </w:pPr>
      <w:r>
        <w:t xml:space="preserve">Miami, FL 33132, United States</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Enterprise Infrastructure Modernization</w:t>
      </w:r>
    </w:p>
    <w:p>
      <w:pPr>
        <w:pStyle w:val="BodyText"/>
      </w:pPr>
      <w:r>
        <w:rPr>
          <w:bCs/>
          <w:b/>
        </w:rPr>
        <w:t xml:space="preserve">Location:</w:t>
      </w:r>
      <w:r>
        <w:t xml:space="preserve"> </w:t>
      </w:r>
      <w:r>
        <w:t xml:space="preserve">Miami-Dade County Operations Center</w:t>
      </w:r>
    </w:p>
    <w:p>
      <w:pPr>
        <w:pStyle w:val="BodyText"/>
      </w:pPr>
      <w:r>
        <w:rPr>
          <w:bCs/>
          <w:b/>
        </w:rPr>
        <w:t xml:space="preserve">Contract ID:</w:t>
      </w:r>
      <w:r>
        <w:t xml:space="preserve"> </w:t>
      </w:r>
      <w:r>
        <w:t xml:space="preserve">C-2023-ENG-88</w:t>
      </w:r>
    </w:p>
    <w:p>
      <w:pPr>
        <w:pStyle w:val="BodyText"/>
      </w:pPr>
      <w:r>
        <w:rPr>
          <w:bCs/>
          <w:b/>
        </w:rPr>
        <w:t xml:space="preserve">Service Period:</w:t>
      </w:r>
      <w:r>
        <w:t xml:space="preserve"> </w:t>
      </w:r>
      <w:r>
        <w:t xml:space="preserve">October 1, 2023 - October 31,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Systems Engineer Consultation &amp; Architecture Design</w:t>
            </w:r>
            <w:r>
              <w:br/>
            </w:r>
            <w:r>
              <w:t xml:space="preserve">Comprehensive assessment of current legacy infrastructure in Miami facility. Design of scalable cloud-hybrid architecture to support high-availability logistics operations. Includes stakeholder meetings and technical documentation.</w:t>
            </w:r>
          </w:p>
        </w:tc>
        <w:tc>
          <w:tcPr/>
          <w:p>
            <w:pPr>
              <w:pStyle w:val="Compact"/>
              <w:jc w:val="left"/>
            </w:pPr>
            <w:r>
              <w:t xml:space="preserve">40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Network Security Implementation &amp; Hardening</w:t>
            </w:r>
            <w:r>
              <w:br/>
            </w:r>
            <w:r>
              <w:t xml:space="preserve">Deployment of next-generation firewalls and intrusion detection systems. Configuration of VLANs and secure access controls compliant with Florida state data privacy regulations. Vulnerability scanning and remediation.</w:t>
            </w:r>
          </w:p>
        </w:tc>
        <w:tc>
          <w:tcPr/>
          <w:p>
            <w:pPr>
              <w:pStyle w:val="Compact"/>
              <w:jc w:val="left"/>
            </w:pPr>
            <w:r>
              <w:t xml:space="preserve">60</w:t>
            </w:r>
          </w:p>
        </w:tc>
        <w:tc>
          <w:tcPr/>
          <w:p>
            <w:pPr>
              <w:pStyle w:val="Compact"/>
              <w:jc w:val="left"/>
            </w:pPr>
            <w:r>
              <w:t xml:space="preserve">$165.00</w:t>
            </w:r>
          </w:p>
        </w:tc>
        <w:tc>
          <w:tcPr/>
          <w:p>
            <w:pPr>
              <w:pStyle w:val="Compact"/>
              <w:jc w:val="left"/>
            </w:pPr>
            <w:r>
              <w:t xml:space="preserve">$9,900.00</w:t>
            </w:r>
          </w:p>
        </w:tc>
      </w:tr>
      <w:tr>
        <w:tc>
          <w:tcPr/>
          <w:p>
            <w:pPr>
              <w:pStyle w:val="Compact"/>
              <w:jc w:val="left"/>
            </w:pPr>
            <w:r>
              <w:t xml:space="preserve">3</w:t>
            </w:r>
          </w:p>
        </w:tc>
        <w:tc>
          <w:tcPr/>
          <w:p>
            <w:pPr>
              <w:pStyle w:val="Compact"/>
              <w:jc w:val="left"/>
            </w:pPr>
            <w:r>
              <w:rPr>
                <w:bCs/>
                <w:b/>
              </w:rPr>
              <w:t xml:space="preserve">Server Migration &amp; Virtualization Services</w:t>
            </w:r>
            <w:r>
              <w:br/>
            </w:r>
            <w:r>
              <w:t xml:space="preserve">Migration of on-premise physical servers to VMware vSphere environment. Optimization of resource allocation for database clusters. Ensuring zero-downtime transition for critical business applications.</w:t>
            </w:r>
          </w:p>
        </w:tc>
        <w:tc>
          <w:tcPr/>
          <w:p>
            <w:pPr>
              <w:pStyle w:val="Compact"/>
              <w:jc w:val="left"/>
            </w:pPr>
            <w:r>
              <w:t xml:space="preserve">80</w:t>
            </w:r>
          </w:p>
        </w:tc>
        <w:tc>
          <w:tcPr/>
          <w:p>
            <w:pPr>
              <w:pStyle w:val="Compact"/>
              <w:jc w:val="left"/>
            </w:pPr>
            <w:r>
              <w:t xml:space="preserve">$160.00</w:t>
            </w:r>
          </w:p>
        </w:tc>
        <w:tc>
          <w:tcPr/>
          <w:p>
            <w:pPr>
              <w:pStyle w:val="Compact"/>
              <w:jc w:val="left"/>
            </w:pPr>
            <w:r>
              <w:t xml:space="preserve">$12,800.00</w:t>
            </w:r>
          </w:p>
        </w:tc>
      </w:tr>
      <w:tr>
        <w:tc>
          <w:tcPr/>
          <w:p>
            <w:pPr>
              <w:pStyle w:val="Compact"/>
              <w:jc w:val="left"/>
            </w:pPr>
            <w:r>
              <w:t xml:space="preserve">4</w:t>
            </w:r>
          </w:p>
        </w:tc>
        <w:tc>
          <w:tcPr/>
          <w:p>
            <w:pPr>
              <w:pStyle w:val="Compact"/>
              <w:jc w:val="left"/>
            </w:pPr>
            <w:r>
              <w:rPr>
                <w:bCs/>
                <w:b/>
              </w:rPr>
              <w:t xml:space="preserve">Disaster Recovery Planning &amp; Testing</w:t>
            </w:r>
            <w:r>
              <w:br/>
            </w:r>
            <w:r>
              <w:t xml:space="preserve">Development of a robust Business Continuity Plan (BCP) tailored for Miami's geographic risk factors. Implementation of automated backup solutions and execution of failover drills to ensure system resilience.</w:t>
            </w:r>
          </w:p>
        </w:tc>
        <w:tc>
          <w:tcPr/>
          <w:p>
            <w:pPr>
              <w:pStyle w:val="Compact"/>
              <w:jc w:val="left"/>
            </w:pPr>
            <w:r>
              <w:t xml:space="preserve">20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5</w:t>
            </w:r>
          </w:p>
        </w:tc>
        <w:tc>
          <w:tcPr/>
          <w:p>
            <w:pPr>
              <w:pStyle w:val="Compact"/>
              <w:jc w:val="left"/>
            </w:pPr>
            <w:r>
              <w:rPr>
                <w:bCs/>
                <w:b/>
              </w:rPr>
              <w:t xml:space="preserve">Technical Documentation &amp; Knowledge Transfer</w:t>
            </w:r>
            <w:r>
              <w:br/>
            </w:r>
            <w:r>
              <w:t xml:space="preserve">Creation of detailed system diagrams, runbooks, and standard operating procedures (SOPs). Training sessions for internal IT staff on new infrastructure management and monitoring tools.</w:t>
            </w:r>
          </w:p>
        </w:tc>
        <w:tc>
          <w:tcPr/>
          <w:p>
            <w:pPr>
              <w:pStyle w:val="Compact"/>
              <w:jc w:val="left"/>
            </w:pPr>
            <w:r>
              <w:t xml:space="preserve">15</w:t>
            </w:r>
          </w:p>
        </w:tc>
        <w:tc>
          <w:tcPr/>
          <w:p>
            <w:pPr>
              <w:pStyle w:val="Compact"/>
              <w:jc w:val="left"/>
            </w:pPr>
            <w:r>
              <w:t xml:space="preserve">$150.00</w:t>
            </w:r>
          </w:p>
        </w:tc>
        <w:tc>
          <w:tcPr/>
          <w:p>
            <w:pPr>
              <w:pStyle w:val="Compact"/>
              <w:jc w:val="left"/>
            </w:pPr>
            <w:r>
              <w:t xml:space="preserve">$2,250.00</w:t>
            </w:r>
          </w:p>
        </w:tc>
      </w:tr>
    </w:tbl>
    <w:p>
      <w:pPr>
        <w:pStyle w:val="BodyText"/>
      </w:pPr>
      <w:r>
        <w:t xml:space="preserve">Subtotal:</w:t>
      </w:r>
      <w:r>
        <w:t xml:space="preserve"> </w:t>
      </w:r>
      <w:r>
        <w:t xml:space="preserve">$35,550.00</w:t>
      </w:r>
    </w:p>
    <w:p>
      <w:pPr>
        <w:pStyle w:val="BodyText"/>
      </w:pPr>
      <w:r>
        <w:t xml:space="preserve">Florida State Sales Tax (6%):</w:t>
      </w:r>
      <w:r>
        <w:t xml:space="preserve"> </w:t>
      </w:r>
      <w:r>
        <w:t xml:space="preserve">$2,133.00</w:t>
      </w:r>
    </w:p>
    <w:p>
      <w:pPr>
        <w:pStyle w:val="BodyText"/>
      </w:pPr>
      <w:r>
        <w:t xml:space="preserve">Miami-Dade County Surtax (1%):</w:t>
      </w:r>
      <w:r>
        <w:t xml:space="preserve"> </w:t>
      </w:r>
      <w:r>
        <w:t xml:space="preserve">$355.50</w:t>
      </w:r>
    </w:p>
    <w:p>
      <w:pPr>
        <w:pStyle w:val="BodyText"/>
      </w:pPr>
      <w:r>
        <w:t xml:space="preserve">TOTAL DUE:</w:t>
      </w:r>
      <w:r>
        <w:t xml:space="preserve"> </w:t>
      </w:r>
      <w:r>
        <w:t xml:space="preserve">$38,038.50</w:t>
      </w:r>
    </w:p>
    <w:bookmarkStart w:id="24" w:name="payment-instructions-terms"/>
    <w:p>
      <w:pPr>
        <w:pStyle w:val="Heading4"/>
      </w:pPr>
      <w:r>
        <w:t xml:space="preserve">Payment Instructions &amp; Terms</w:t>
      </w:r>
    </w:p>
    <w:p>
      <w:pPr>
        <w:pStyle w:val="FirstParagraph"/>
      </w:pPr>
      <w:r>
        <w:rPr>
          <w:bCs/>
          <w:b/>
        </w:rPr>
        <w:t xml:space="preserve">Bank Transfer (ACH/Wire):</w:t>
      </w:r>
    </w:p>
    <w:p>
      <w:pPr>
        <w:pStyle w:val="BodyText"/>
      </w:pPr>
      <w:r>
        <w:t xml:space="preserve">Bank Name: First National Bank of Miami</w:t>
      </w:r>
      <w:r>
        <w:br/>
      </w:r>
      <w:r>
        <w:t xml:space="preserve">Account Name: Apex Systems Engineering Solutions LLC</w:t>
      </w:r>
      <w:r>
        <w:br/>
      </w:r>
      <w:r>
        <w:t xml:space="preserve">Routing Number: 067014822</w:t>
      </w:r>
      <w:r>
        <w:br/>
      </w:r>
      <w:r>
        <w:t xml:space="preserve">Account Number: 9876543210</w:t>
      </w:r>
      <w:r>
        <w:br/>
      </w:r>
      <w:r>
        <w:t xml:space="preserve">Reference: Invoice INV-2023-10-042</w:t>
      </w:r>
    </w:p>
    <w:p>
      <w:pPr>
        <w:pStyle w:val="BodyText"/>
      </w:pPr>
      <w:r>
        <w:rPr>
          <w:bCs/>
          <w:b/>
        </w:rPr>
        <w:t xml:space="preserve">Checks:</w:t>
      </w:r>
      <w:r>
        <w:t xml:space="preserve"> </w:t>
      </w:r>
      <w:r>
        <w:t xml:space="preserve">Please make checks payable to "Apex Systems Engineering Solutions" and mail to the address listed in the header.</w:t>
      </w:r>
    </w:p>
    <w:p>
      <w:pPr>
        <w:pStyle w:val="BodyText"/>
      </w:pPr>
      <w:r>
        <w:rPr>
          <w:bCs/>
          <w:b/>
        </w:rPr>
        <w:t xml:space="preserve">Late Fees:</w:t>
      </w:r>
      <w:r>
        <w:t xml:space="preserve"> </w:t>
      </w:r>
      <w:r>
        <w:t xml:space="preserve">A late fee of 1.5% per month will be applied to any balance remaining unpaid after the due date of November 23, 2023.</w:t>
      </w:r>
    </w:p>
    <w:p>
      <w:pPr>
        <w:pStyle w:val="BodyText"/>
      </w:pPr>
      <w:r>
        <w:rPr>
          <w:bCs/>
          <w:b/>
        </w:rPr>
        <w:t xml:space="preserve">Service Guarantee:</w:t>
      </w:r>
      <w:r>
        <w:t xml:space="preserve"> </w:t>
      </w:r>
      <w:r>
        <w:t xml:space="preserve">All Systems Engineer services provided under this invoice are guaranteed for 30 days from the date of completion. Any defects in workmanship related to the configuration or implementation described above will be rectified at no additional cost.</w:t>
      </w:r>
    </w:p>
    <w:p>
      <w:pPr>
        <w:pStyle w:val="BodyText"/>
      </w:pPr>
      <w:r>
        <w:rPr>
          <w:bCs/>
          <w:b/>
        </w:rPr>
        <w:t xml:space="preserve">Legal Jurisdiction:</w:t>
      </w:r>
      <w:r>
        <w:t xml:space="preserve"> </w:t>
      </w:r>
      <w:r>
        <w:t xml:space="preserve">This Invoice and the services described herein are governed by the laws of the State of Florida. Any disputes arising from this transaction shall be resolved in the courts of Miami-Dade County, United States.</w:t>
      </w:r>
    </w:p>
    <w:bookmarkEnd w:id="24"/>
    <w:p>
      <w:pPr>
        <w:pStyle w:val="BodyText"/>
      </w:pPr>
      <w:r>
        <w:rPr>
          <w:bCs/>
          <w:b/>
        </w:rPr>
        <w:t xml:space="preserve">Authorized Signature (Provider)</w:t>
      </w:r>
      <w:r>
        <w:br/>
      </w:r>
      <w:r>
        <w:rPr>
          <w:iCs/>
          <w:i/>
        </w:rPr>
        <w:t xml:space="preserve">John Doe, Lead Systems Engineer</w:t>
      </w:r>
      <w:r>
        <w:br/>
      </w:r>
      <w:r>
        <w:t xml:space="preserve">Apex Systems Engineering Solutions</w:t>
      </w:r>
    </w:p>
    <w:p>
      <w:pPr>
        <w:pStyle w:val="BodyText"/>
      </w:pPr>
      <w:r>
        <w:rPr>
          <w:bCs/>
          <w:b/>
        </w:rPr>
        <w:t xml:space="preserve">Authorized Signature (Client)</w:t>
      </w:r>
      <w:r>
        <w:br/>
      </w:r>
      <w:r>
        <w:rPr>
          <w:iCs/>
          <w:i/>
        </w:rPr>
        <w:t xml:space="preserve">Accepted by:</w:t>
      </w:r>
      <w:r>
        <w:br/>
      </w:r>
      <w:r>
        <w:t xml:space="preserve">Oceanview Logistics Group</w:t>
      </w:r>
    </w:p>
    <w:p>
      <w:pPr>
        <w:pStyle w:val="BodyText"/>
      </w:pPr>
      <w:r>
        <w:t xml:space="preserve">Thank you for your business. We appreciate the opportunity to support your technological infrastructure in Miami.</w:t>
      </w:r>
    </w:p>
    <w:p>
      <w:pPr>
        <w:pStyle w:val="BodyText"/>
      </w:pPr>
      <w:r>
        <w:t xml:space="preserve">Apex Systems Engineering Solutions | 1200 Brickell Avenue, Suite 450, Miami, FL 33131 | (305) 555-0199</w:t>
      </w:r>
    </w:p>
    <w:p>
      <w:pPr>
        <w:pStyle w:val="BodyText"/>
      </w:pPr>
      <w:r>
        <w:t xml:space="preserve">This is a computer-generated Invoice. No signature is required for processing unless specified by your internal policies.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2026-10-10T09:03:28Z</dcterms:created>
  <dcterms:modified xsi:type="dcterms:W3CDTF">2026-10-10T09:03:28Z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