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Engineering</w:t>
      </w:r>
      <w:r>
        <w:t xml:space="preserve"> </w:t>
      </w:r>
      <w:r>
        <w:t xml:space="preserve">Services</w:t>
      </w:r>
    </w:p>
    <w:bookmarkStart w:id="20" w:name="apex-systems-engineering"/>
    <w:p>
      <w:pPr>
        <w:pStyle w:val="Heading1"/>
      </w:pPr>
      <w:r>
        <w:t xml:space="preserve">Apex Systems Engineering</w:t>
      </w:r>
    </w:p>
    <w:p>
      <w:pPr>
        <w:pStyle w:val="FirstParagraph"/>
      </w:pPr>
      <w:r>
        <w:t xml:space="preserve">123 Market Street, Suite 400</w:t>
      </w:r>
    </w:p>
    <w:p>
      <w:pPr>
        <w:pStyle w:val="BodyText"/>
      </w:pPr>
      <w:r>
        <w:t xml:space="preserve">San Francisco, CA 94105</w:t>
      </w:r>
    </w:p>
    <w:p>
      <w:pPr>
        <w:pStyle w:val="BodyText"/>
      </w:pPr>
      <w:r>
        <w:t xml:space="preserve">United States</w:t>
      </w:r>
    </w:p>
    <w:p>
      <w:pPr>
        <w:pStyle w:val="BodyText"/>
      </w:pPr>
      <w:r>
        <w:t xml:space="preserve">Tel: (415) 555-0199</w:t>
      </w:r>
    </w:p>
    <w:p>
      <w:pPr>
        <w:pStyle w:val="BodyText"/>
      </w:pPr>
      <w:r>
        <w:t xml:space="preserve">Email: billing@apexsystemseng.com</w:t>
      </w:r>
    </w:p>
    <w:p>
      <w:pPr>
        <w:pStyle w:val="BodyText"/>
      </w:pPr>
      <w:r>
        <w:t xml:space="preserve">CA Seller's Permit: #051-1234567-89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TechNova Innovations Inc.</w:t>
      </w:r>
    </w:p>
    <w:p>
      <w:pPr>
        <w:pStyle w:val="BodyText"/>
      </w:pPr>
      <w:r>
        <w:t xml:space="preserve">Attn: Procurement Department</w:t>
      </w:r>
    </w:p>
    <w:p>
      <w:pPr>
        <w:pStyle w:val="BodyText"/>
      </w:pPr>
      <w:r>
        <w:t xml:space="preserve">555 California Street, Floor 32</w:t>
      </w:r>
    </w:p>
    <w:p>
      <w:pPr>
        <w:pStyle w:val="BodyText"/>
      </w:pPr>
      <w:r>
        <w:t xml:space="preserve">San Francisco, CA 94104</w:t>
      </w:r>
    </w:p>
    <w:p>
      <w:pPr>
        <w:pStyle w:val="BodyText"/>
      </w:pPr>
      <w:r>
        <w:t xml:space="preserve">United States</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Enterprise Infrastructure Optimization</w:t>
      </w:r>
    </w:p>
    <w:p>
      <w:pPr>
        <w:pStyle w:val="BodyText"/>
      </w:pPr>
      <w:r>
        <w:rPr>
          <w:bCs/>
          <w:b/>
        </w:rPr>
        <w:t xml:space="preserve">Contract ID:</w:t>
      </w:r>
      <w:r>
        <w:t xml:space="preserve"> </w:t>
      </w:r>
      <w:r>
        <w:t xml:space="preserve">SF-ENG-2023-Q4</w:t>
      </w:r>
    </w:p>
    <w:p>
      <w:pPr>
        <w:pStyle w:val="BodyText"/>
      </w:pPr>
      <w:r>
        <w:rPr>
          <w:bCs/>
          <w:b/>
        </w:rPr>
        <w:t xml:space="preserve">Service Period:</w:t>
      </w:r>
      <w:r>
        <w:t xml:space="preserve"> </w:t>
      </w:r>
      <w:r>
        <w:t xml:space="preserve">October 1, 2023 - October 31, 2023</w:t>
      </w:r>
    </w:p>
    <w:p>
      <w:pPr>
        <w:pStyle w:val="BodyText"/>
      </w:pPr>
      <w:r>
        <w:rPr>
          <w:bCs/>
          <w:b/>
        </w:rPr>
        <w:t xml:space="preserve">Location:</w:t>
      </w:r>
      <w:r>
        <w:t xml:space="preserve"> </w:t>
      </w:r>
      <w:r>
        <w:t xml:space="preserve">San Francisco, CA</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Senior Systems Engineer Consultation</w:t>
            </w:r>
            <w:r>
              <w:br/>
            </w:r>
            <w:r>
              <w:t xml:space="preserve">Comprehensive architectural review of existing on-premise data center infrastructure in San Francisco. Analysis of server load balancing, network latency issues, and storage redundancy protocols.</w:t>
            </w:r>
          </w:p>
        </w:tc>
        <w:tc>
          <w:tcPr/>
          <w:p>
            <w:pPr>
              <w:pStyle w:val="Compact"/>
              <w:jc w:val="left"/>
            </w:pPr>
            <w:r>
              <w:t xml:space="preserve">16.0</w:t>
            </w:r>
          </w:p>
        </w:tc>
        <w:tc>
          <w:tcPr/>
          <w:p>
            <w:pPr>
              <w:pStyle w:val="Compact"/>
              <w:jc w:val="left"/>
            </w:pPr>
            <w:r>
              <w:t xml:space="preserve">$175.00</w:t>
            </w:r>
          </w:p>
        </w:tc>
        <w:tc>
          <w:tcPr/>
          <w:p>
            <w:pPr>
              <w:pStyle w:val="Compact"/>
              <w:jc w:val="left"/>
            </w:pPr>
            <w:r>
              <w:t xml:space="preserve">$2,800.00</w:t>
            </w:r>
          </w:p>
        </w:tc>
      </w:tr>
      <w:tr>
        <w:tc>
          <w:tcPr/>
          <w:p>
            <w:pPr>
              <w:pStyle w:val="Compact"/>
              <w:jc w:val="left"/>
            </w:pPr>
            <w:r>
              <w:t xml:space="preserve">2</w:t>
            </w:r>
          </w:p>
        </w:tc>
        <w:tc>
          <w:tcPr/>
          <w:p>
            <w:pPr>
              <w:pStyle w:val="Compact"/>
              <w:jc w:val="left"/>
            </w:pPr>
            <w:r>
              <w:rPr>
                <w:bCs/>
                <w:b/>
              </w:rPr>
              <w:t xml:space="preserve">Cloud Migration Strategy &amp; Implementation</w:t>
            </w:r>
            <w:r>
              <w:br/>
            </w:r>
            <w:r>
              <w:t xml:space="preserve">Design and execution of hybrid cloud migration plan. Configuration of AWS EC2 instances and VPC networking to ensure seamless integration with legacy systems. Includes security group configuration and IAM role assignment.</w:t>
            </w:r>
          </w:p>
        </w:tc>
        <w:tc>
          <w:tcPr/>
          <w:p>
            <w:pPr>
              <w:pStyle w:val="Compact"/>
              <w:jc w:val="left"/>
            </w:pPr>
            <w:r>
              <w:t xml:space="preserve">40.0</w:t>
            </w:r>
          </w:p>
        </w:tc>
        <w:tc>
          <w:tcPr/>
          <w:p>
            <w:pPr>
              <w:pStyle w:val="Compact"/>
              <w:jc w:val="left"/>
            </w:pPr>
            <w:r>
              <w:t xml:space="preserve">$175.00</w:t>
            </w:r>
          </w:p>
        </w:tc>
        <w:tc>
          <w:tcPr/>
          <w:p>
            <w:pPr>
              <w:pStyle w:val="Compact"/>
              <w:jc w:val="left"/>
            </w:pPr>
            <w:r>
              <w:t xml:space="preserve">$7,000.00</w:t>
            </w:r>
          </w:p>
        </w:tc>
      </w:tr>
      <w:tr>
        <w:tc>
          <w:tcPr/>
          <w:p>
            <w:pPr>
              <w:pStyle w:val="Compact"/>
              <w:jc w:val="left"/>
            </w:pPr>
            <w:r>
              <w:t xml:space="preserve">3</w:t>
            </w:r>
          </w:p>
        </w:tc>
        <w:tc>
          <w:tcPr/>
          <w:p>
            <w:pPr>
              <w:pStyle w:val="Compact"/>
              <w:jc w:val="left"/>
            </w:pPr>
            <w:r>
              <w:rPr>
                <w:bCs/>
                <w:b/>
              </w:rPr>
              <w:t xml:space="preserve">DevOps Pipeline Automation</w:t>
            </w:r>
            <w:r>
              <w:br/>
            </w:r>
            <w:r>
              <w:t xml:space="preserve">Implementation of CI/CD pipelines using Jenkins and Docker. Automation of deployment scripts to reduce manual intervention and minimize downtime during software releases.</w:t>
            </w:r>
          </w:p>
        </w:tc>
        <w:tc>
          <w:tcPr/>
          <w:p>
            <w:pPr>
              <w:pStyle w:val="Compact"/>
              <w:jc w:val="left"/>
            </w:pPr>
            <w:r>
              <w:t xml:space="preserve">24.0</w:t>
            </w:r>
          </w:p>
        </w:tc>
        <w:tc>
          <w:tcPr/>
          <w:p>
            <w:pPr>
              <w:pStyle w:val="Compact"/>
              <w:jc w:val="left"/>
            </w:pPr>
            <w:r>
              <w:t xml:space="preserve">$175.00</w:t>
            </w:r>
          </w:p>
        </w:tc>
        <w:tc>
          <w:tcPr/>
          <w:p>
            <w:pPr>
              <w:pStyle w:val="Compact"/>
              <w:jc w:val="left"/>
            </w:pPr>
            <w:r>
              <w:t xml:space="preserve">$4,200.00</w:t>
            </w:r>
          </w:p>
        </w:tc>
      </w:tr>
      <w:tr>
        <w:tc>
          <w:tcPr/>
          <w:p>
            <w:pPr>
              <w:pStyle w:val="Compact"/>
              <w:jc w:val="left"/>
            </w:pPr>
            <w:r>
              <w:t xml:space="preserve">4</w:t>
            </w:r>
          </w:p>
        </w:tc>
        <w:tc>
          <w:tcPr/>
          <w:p>
            <w:pPr>
              <w:pStyle w:val="Compact"/>
              <w:jc w:val="left"/>
            </w:pPr>
            <w:r>
              <w:rPr>
                <w:bCs/>
                <w:b/>
              </w:rPr>
              <w:t xml:space="preserve">Network Security Audit &amp; Hardening</w:t>
            </w:r>
            <w:r>
              <w:br/>
            </w:r>
            <w:r>
              <w:t xml:space="preserve">Vulnerability assessment of the corporate network perimeter. Implementation of firewall rules, intrusion detection systems (IDS), and encryption standards compliant with California state data privacy regulations.</w:t>
            </w:r>
          </w:p>
        </w:tc>
        <w:tc>
          <w:tcPr/>
          <w:p>
            <w:pPr>
              <w:pStyle w:val="Compact"/>
              <w:jc w:val="left"/>
            </w:pPr>
            <w:r>
              <w:t xml:space="preserve">12.0</w:t>
            </w:r>
          </w:p>
        </w:tc>
        <w:tc>
          <w:tcPr/>
          <w:p>
            <w:pPr>
              <w:pStyle w:val="Compact"/>
              <w:jc w:val="left"/>
            </w:pPr>
            <w:r>
              <w:t xml:space="preserve">$175.00</w:t>
            </w:r>
          </w:p>
        </w:tc>
        <w:tc>
          <w:tcPr/>
          <w:p>
            <w:pPr>
              <w:pStyle w:val="Compact"/>
              <w:jc w:val="left"/>
            </w:pPr>
            <w:r>
              <w:t xml:space="preserve">$2,100.00</w:t>
            </w:r>
          </w:p>
        </w:tc>
      </w:tr>
      <w:tr>
        <w:tc>
          <w:tcPr/>
          <w:p>
            <w:pPr>
              <w:pStyle w:val="Compact"/>
              <w:jc w:val="left"/>
            </w:pPr>
            <w:r>
              <w:t xml:space="preserve">5</w:t>
            </w:r>
          </w:p>
        </w:tc>
        <w:tc>
          <w:tcPr/>
          <w:p>
            <w:pPr>
              <w:pStyle w:val="Compact"/>
              <w:jc w:val="left"/>
            </w:pPr>
            <w:r>
              <w:rPr>
                <w:bCs/>
                <w:b/>
              </w:rPr>
              <w:t xml:space="preserve">Systems Monitoring Setup</w:t>
            </w:r>
            <w:r>
              <w:br/>
            </w:r>
            <w:r>
              <w:t xml:space="preserve">Deployment of Prometheus and Grafana for real-time system performance monitoring. Configuration of alerting mechanisms for critical system failures and resource exhaustion events.</w:t>
            </w:r>
          </w:p>
        </w:tc>
        <w:tc>
          <w:tcPr/>
          <w:p>
            <w:pPr>
              <w:pStyle w:val="Compact"/>
              <w:jc w:val="left"/>
            </w:pPr>
            <w:r>
              <w:t xml:space="preserve">8.0</w:t>
            </w:r>
          </w:p>
        </w:tc>
        <w:tc>
          <w:tcPr/>
          <w:p>
            <w:pPr>
              <w:pStyle w:val="Compact"/>
              <w:jc w:val="left"/>
            </w:pPr>
            <w:r>
              <w:t xml:space="preserve">$175.00</w:t>
            </w:r>
          </w:p>
        </w:tc>
        <w:tc>
          <w:tcPr/>
          <w:p>
            <w:pPr>
              <w:pStyle w:val="Compact"/>
              <w:jc w:val="left"/>
            </w:pPr>
            <w:r>
              <w:t xml:space="preserve">$1,400.00</w:t>
            </w:r>
          </w:p>
        </w:tc>
      </w:tr>
      <w:tr>
        <w:tc>
          <w:tcPr/>
          <w:p>
            <w:pPr>
              <w:pStyle w:val="Compact"/>
              <w:jc w:val="left"/>
            </w:pPr>
            <w:r>
              <w:t xml:space="preserve">6</w:t>
            </w:r>
          </w:p>
        </w:tc>
        <w:tc>
          <w:tcPr/>
          <w:p>
            <w:pPr>
              <w:pStyle w:val="Compact"/>
              <w:jc w:val="left"/>
            </w:pPr>
            <w:r>
              <w:rPr>
                <w:bCs/>
                <w:b/>
              </w:rPr>
              <w:t xml:space="preserve">Technical Documentation &amp; Training</w:t>
            </w:r>
            <w:r>
              <w:br/>
            </w:r>
            <w:r>
              <w:t xml:space="preserve">Creation of detailed system architecture diagrams, runbooks, and disaster recovery procedures. Conducting a 2-hour training session for internal IT staff on new infrastructure management.</w:t>
            </w:r>
          </w:p>
        </w:tc>
        <w:tc>
          <w:tcPr/>
          <w:p>
            <w:pPr>
              <w:pStyle w:val="Compact"/>
              <w:jc w:val="left"/>
            </w:pPr>
            <w:r>
              <w:t xml:space="preserve">10.0</w:t>
            </w:r>
          </w:p>
        </w:tc>
        <w:tc>
          <w:tcPr/>
          <w:p>
            <w:pPr>
              <w:pStyle w:val="Compact"/>
              <w:jc w:val="left"/>
            </w:pPr>
            <w:r>
              <w:t xml:space="preserve">$175.00</w:t>
            </w:r>
          </w:p>
        </w:tc>
        <w:tc>
          <w:tcPr/>
          <w:p>
            <w:pPr>
              <w:pStyle w:val="Compact"/>
              <w:jc w:val="left"/>
            </w:pPr>
            <w:r>
              <w:t xml:space="preserve">$1,750.00</w:t>
            </w:r>
          </w:p>
        </w:tc>
      </w:tr>
    </w:tbl>
    <w:p>
      <w:pPr>
        <w:pStyle w:val="BodyText"/>
      </w:pPr>
      <w:r>
        <w:t xml:space="preserve">Subtotal:</w:t>
      </w:r>
      <w:r>
        <w:t xml:space="preserve"> </w:t>
      </w:r>
      <w:r>
        <w:t xml:space="preserve">$19,250.00</w:t>
      </w:r>
    </w:p>
    <w:p>
      <w:pPr>
        <w:pStyle w:val="BodyText"/>
      </w:pPr>
      <w:r>
        <w:t xml:space="preserve">CA Sales Tax (8.75%):</w:t>
      </w:r>
      <w:r>
        <w:t xml:space="preserve"> </w:t>
      </w:r>
      <w:r>
        <w:t xml:space="preserve">$1,684.38</w:t>
      </w:r>
    </w:p>
    <w:p>
      <w:pPr>
        <w:pStyle w:val="BodyText"/>
      </w:pPr>
      <w:r>
        <w:t xml:space="preserve">Discount (Early Payment):</w:t>
      </w:r>
      <w:r>
        <w:t xml:space="preserve"> </w:t>
      </w:r>
      <w:r>
        <w:t xml:space="preserve">$0.00</w:t>
      </w:r>
    </w:p>
    <w:p>
      <w:pPr>
        <w:pStyle w:val="BodyText"/>
      </w:pPr>
      <w:r>
        <w:t xml:space="preserve">TOTAL DUE:</w:t>
      </w:r>
      <w:r>
        <w:t xml:space="preserve"> </w:t>
      </w:r>
      <w:r>
        <w:t xml:space="preserve">$20,934.38</w:t>
      </w:r>
    </w:p>
    <w:bookmarkStart w:id="24" w:name="payment-instructions-terms"/>
    <w:p>
      <w:pPr>
        <w:pStyle w:val="Heading4"/>
      </w:pPr>
      <w:r>
        <w:t xml:space="preserve">Payment Instructions &amp; Terms:</w:t>
      </w:r>
    </w:p>
    <w:p>
      <w:pPr>
        <w:pStyle w:val="FirstParagraph"/>
      </w:pPr>
      <w:r>
        <w:t xml:space="preserve">Please make checks payable to</w:t>
      </w:r>
      <w:r>
        <w:t xml:space="preserve"> </w:t>
      </w:r>
      <w:r>
        <w:rPr>
          <w:bCs/>
          <w:b/>
        </w:rPr>
        <w:t xml:space="preserve">Apex Systems Engineering</w:t>
      </w:r>
      <w:r>
        <w:t xml:space="preserve"> </w:t>
      </w:r>
      <w:r>
        <w:t xml:space="preserve">and mail to the address listed above. For electronic transfers, please use the following details:</w:t>
      </w:r>
    </w:p>
    <w:p>
      <w:pPr>
        <w:pStyle w:val="BodyText"/>
      </w:pPr>
      <w:r>
        <w:rPr>
          <w:bCs/>
          <w:b/>
        </w:rPr>
        <w:t xml:space="preserve">Bank Name:</w:t>
      </w:r>
      <w:r>
        <w:t xml:space="preserve"> </w:t>
      </w:r>
      <w:r>
        <w:t xml:space="preserve">Silicon Valley Bank</w:t>
      </w:r>
      <w:r>
        <w:br/>
      </w:r>
      <w:r>
        <w:rPr>
          <w:bCs/>
          <w:b/>
        </w:rPr>
        <w:t xml:space="preserve">Account Name:</w:t>
      </w:r>
      <w:r>
        <w:t xml:space="preserve"> </w:t>
      </w:r>
      <w:r>
        <w:t xml:space="preserve">Apex Systems Engineering LLC</w:t>
      </w:r>
      <w:r>
        <w:br/>
      </w:r>
      <w:r>
        <w:rPr>
          <w:bCs/>
          <w:b/>
        </w:rPr>
        <w:t xml:space="preserve">Routing Number:</w:t>
      </w:r>
      <w:r>
        <w:t xml:space="preserve"> </w:t>
      </w:r>
      <w:r>
        <w:t xml:space="preserve">121140399</w:t>
      </w:r>
      <w:r>
        <w:br/>
      </w:r>
      <w:r>
        <w:rPr>
          <w:bCs/>
          <w:b/>
        </w:rPr>
        <w:t xml:space="preserve">Account Number:</w:t>
      </w:r>
      <w:r>
        <w:t xml:space="preserve"> </w:t>
      </w:r>
      <w:r>
        <w:t xml:space="preserve">9876543210</w:t>
      </w:r>
    </w:p>
    <w:p>
      <w:pPr>
        <w:pStyle w:val="BodyText"/>
      </w:pPr>
      <w:r>
        <w:t xml:space="preserve">Payment is due within 30 days of the invoice date. A late fee of 1.5% per month will be applied to overdue balances. This invoice reflects professional services rendered by a certified Systems Engineer specializing in enterprise-level infrastructure within the San Francisco Bay Area. All work performed complies with United States federal and California state regulations regarding data security and engineering standards.</w:t>
      </w:r>
    </w:p>
    <w:bookmarkEnd w:id="24"/>
    <w:p>
      <w:pPr>
        <w:pStyle w:val="BodyText"/>
      </w:pPr>
      <w:r>
        <w:t xml:space="preserve">Authorized Signature (Provider)</w:t>
      </w:r>
    </w:p>
    <w:p>
      <w:pPr>
        <w:pStyle w:val="BodyText"/>
      </w:pPr>
      <w:r>
        <w:t xml:space="preserve">Authorized Signature (Client)</w:t>
      </w:r>
    </w:p>
    <w:p>
      <w:pPr>
        <w:pStyle w:val="BodyText"/>
      </w:pPr>
      <w:r>
        <w:t xml:space="preserve">Thank you for your business. This document serves as an official Invoice for Systems Engineering services provided in San Francisco, United States.</w:t>
      </w:r>
    </w:p>
    <w:p>
      <w:pPr>
        <w:pStyle w:val="BodyText"/>
      </w:pPr>
      <w:r>
        <w:t xml:space="preserve">Apex Systems Engineering ©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Engineering Services</dc:title>
  <dc:creator/>
  <dc:language>en</dc:language>
  <cp:keywords/>
  <dcterms:created xsi:type="dcterms:W3CDTF">2026-10-10T03:00:10Z</dcterms:created>
  <dcterms:modified xsi:type="dcterms:W3CDTF">2026-10-10T03:00:10Z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