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invoice"/>
    <w:p>
      <w:pPr>
        <w:pStyle w:val="Heading1"/>
      </w:pPr>
      <w:r>
        <w:t xml:space="preserve">INVOICE</w:t>
      </w:r>
    </w:p>
    <w:p>
      <w:pPr>
        <w:pStyle w:val="FirstParagraph"/>
      </w:pPr>
      <w:r>
        <w:t xml:space="preserve">Teacher Secondary Professional Services — Australia Brisbane</w:t>
      </w:r>
    </w:p>
    <w:bookmarkEnd w:id="20"/>
    <w:p>
      <w:pPr>
        <w:pStyle w:val="BodyText"/>
      </w:pPr>
      <w:r>
        <w:rPr>
          <w:bCs/>
          <w:b/>
        </w:rPr>
        <w:t xml:space="preserve">Brisbane Secondary Education Services Pty Ltd</w:t>
      </w:r>
      <w:r>
        <w:br/>
      </w:r>
      <w:r>
        <w:t xml:space="preserve">42 George Street, Level 12</w:t>
      </w:r>
      <w:r>
        <w:br/>
      </w:r>
      <w:r>
        <w:t xml:space="preserve">Brisbane, Queensland 4000</w:t>
      </w:r>
      <w:r>
        <w:br/>
      </w:r>
      <w:r>
        <w:t xml:space="preserve">Australia</w:t>
      </w:r>
      <w:r>
        <w:br/>
      </w:r>
      <w:r>
        <w:t xml:space="preserve">ABN: 54 123 456 789</w:t>
      </w:r>
      <w:r>
        <w:br/>
      </w:r>
      <w:r>
        <w:t xml:space="preserve">Phone: +61 7 3100 4521</w:t>
      </w:r>
      <w:r>
        <w:br/>
      </w:r>
      <w:r>
        <w:t xml:space="preserve">Email: billing@brisbanesecondaryedu.com.au</w:t>
      </w:r>
    </w:p>
    <w:bookmarkStart w:id="21" w:name="invoice-details"/>
    <w:p>
      <w:pPr>
        <w:pStyle w:val="Heading4"/>
      </w:pPr>
      <w:r>
        <w:t xml:space="preserve">Invoice Details</w:t>
      </w:r>
    </w:p>
    <w:p>
      <w:pPr>
        <w:pStyle w:val="FirstParagraph"/>
      </w:pPr>
      <w:r>
        <w:rPr>
          <w:bCs/>
          <w:b/>
        </w:rPr>
        <w:t xml:space="preserve">Invoice No:</w:t>
      </w:r>
      <w:r>
        <w:t xml:space="preserve"> </w:t>
      </w:r>
      <w:r>
        <w:t xml:space="preserve">INV-2025-0847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bookmarkEnd w:id="21"/>
    <w:bookmarkStart w:id="22" w:name="billed-to"/>
    <w:p>
      <w:pPr>
        <w:pStyle w:val="Heading4"/>
      </w:pPr>
      <w:r>
        <w:t xml:space="preserve">Billed To</w:t>
      </w:r>
    </w:p>
    <w:p>
      <w:pPr>
        <w:pStyle w:val="FirstParagraph"/>
      </w:pPr>
      <w:r>
        <w:rPr>
          <w:bCs/>
          <w:b/>
        </w:rPr>
        <w:t xml:space="preserve">St. Andrew's Secondary College</w:t>
      </w:r>
    </w:p>
    <w:p>
      <w:pPr>
        <w:pStyle w:val="BodyText"/>
      </w:pPr>
      <w:r>
        <w:t xml:space="preserve">187 Anzac Parade</w:t>
      </w:r>
    </w:p>
    <w:p>
      <w:pPr>
        <w:pStyle w:val="BodyText"/>
      </w:pPr>
      <w:r>
        <w:t xml:space="preserve">Fortitude Valley, Brisbane QLD 4006</w:t>
      </w:r>
    </w:p>
    <w:p>
      <w:pPr>
        <w:pStyle w:val="BodyText"/>
      </w:pPr>
      <w:r>
        <w:t xml:space="preserve">Australia</w:t>
      </w:r>
    </w:p>
    <w:p>
      <w:pPr>
        <w:pStyle w:val="BodyText"/>
      </w:pPr>
      <w:r>
        <w:t xml:space="preserve">Attn: Principal &amp; Finance Office</w:t>
      </w:r>
    </w:p>
    <w:bookmarkEnd w:id="22"/>
    <w:bookmarkStart w:id="23" w:name="service-provider"/>
    <w:p>
      <w:pPr>
        <w:pStyle w:val="Heading4"/>
      </w:pPr>
      <w:r>
        <w:t xml:space="preserve">Service Provider</w:t>
      </w:r>
    </w:p>
    <w:p>
      <w:pPr>
        <w:pStyle w:val="FirstParagraph"/>
      </w:pPr>
      <w:r>
        <w:rPr>
          <w:bCs/>
          <w:b/>
        </w:rPr>
        <w:t xml:space="preserve">Mr. David R. Thompson</w:t>
      </w:r>
    </w:p>
    <w:p>
      <w:pPr>
        <w:pStyle w:val="BodyText"/>
      </w:pPr>
      <w:r>
        <w:t xml:space="preserve">Teacher Secondary — Mathematics &amp; Science</w:t>
      </w:r>
    </w:p>
    <w:p>
      <w:pPr>
        <w:pStyle w:val="BodyText"/>
      </w:pPr>
      <w:r>
        <w:t xml:space="preserve">Registered Teacher, QCT (Queensland College of Teachers)</w:t>
      </w:r>
    </w:p>
    <w:p>
      <w:pPr>
        <w:pStyle w:val="BodyText"/>
      </w:pPr>
      <w:r>
        <w:t xml:space="preserve">Teacher Registration No: QCT-2019-44821</w:t>
      </w:r>
    </w:p>
    <w:p>
      <w:pPr>
        <w:pStyle w:val="BodyText"/>
      </w:pPr>
      <w:r>
        <w:t xml:space="preserve">Brisbane, Queensland, Australia</w:t>
      </w:r>
    </w:p>
    <w:bookmarkEnd w:id="23"/>
    <w:bookmarkStart w:id="26" w:name="Xf166788140afe8a98756478b7fd6f082319d1a6"/>
    <w:p>
      <w:pPr>
        <w:pStyle w:val="Heading3"/>
      </w:pPr>
      <w:r>
        <w:t xml:space="preserve">Description of Teacher Secondary Services Rendered</w:t>
      </w:r>
    </w:p>
    <w:p>
      <w:pPr>
        <w:pStyle w:val="FirstParagraph"/>
      </w:pPr>
      <w:r>
        <w:t xml:space="preserve">The following Invoice covers professional Teacher Secondary services delivered during the Term 2, 2025 academic period at the above-named secondary institution in Australia Brisbane. All services were conducted in accordance with the Queensland Curriculum and Assessment Authority (QCAA) standards and the Australian Professional Standards for Teachers (APST).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Teacher Secondary — Year 10 Mathematics (QCAA Senior Preparation) classroom instruction, lesson planning, and student assessment</w:t>
            </w:r>
          </w:p>
        </w:tc>
        <w:tc>
          <w:tcPr/>
          <w:p>
            <w:pPr>
              <w:pStyle w:val="Compact"/>
              <w:jc w:val="left"/>
            </w:pPr>
            <w:r>
              <w:t xml:space="preserve">Mar–Jun 2025</w:t>
            </w:r>
          </w:p>
        </w:tc>
        <w:tc>
          <w:tcPr/>
          <w:p>
            <w:pPr>
              <w:pStyle w:val="Compact"/>
              <w:jc w:val="left"/>
            </w:pPr>
            <w:r>
              <w:t xml:space="preserve">120</w:t>
            </w:r>
          </w:p>
        </w:tc>
        <w:tc>
          <w:tcPr/>
          <w:p>
            <w:pPr>
              <w:pStyle w:val="Compact"/>
              <w:jc w:val="left"/>
            </w:pPr>
            <w:r>
              <w:t xml:space="preserve">$68.50</w:t>
            </w:r>
          </w:p>
        </w:tc>
        <w:tc>
          <w:tcPr/>
          <w:p>
            <w:pPr>
              <w:pStyle w:val="Compact"/>
              <w:jc w:val="left"/>
            </w:pPr>
            <w:r>
              <w:t xml:space="preserve">$8,220.00</w:t>
            </w:r>
          </w:p>
        </w:tc>
      </w:tr>
      <w:tr>
        <w:tc>
          <w:tcPr/>
          <w:p>
            <w:pPr>
              <w:pStyle w:val="Compact"/>
              <w:jc w:val="left"/>
            </w:pPr>
            <w:r>
              <w:t xml:space="preserve">02</w:t>
            </w:r>
          </w:p>
        </w:tc>
        <w:tc>
          <w:tcPr/>
          <w:p>
            <w:pPr>
              <w:pStyle w:val="Compact"/>
              <w:jc w:val="left"/>
            </w:pPr>
            <w:r>
              <w:t xml:space="preserve">Teacher Secondary — Year 11 &amp; 12 Science (Physics &amp; Chemistry) instruction aligned with QCAA Senior Syllabus, including practical laboratory sessions</w:t>
            </w:r>
          </w:p>
        </w:tc>
        <w:tc>
          <w:tcPr/>
          <w:p>
            <w:pPr>
              <w:pStyle w:val="Compact"/>
              <w:jc w:val="left"/>
            </w:pPr>
            <w:r>
              <w:t xml:space="preserve">Mar–Jun 2025</w:t>
            </w:r>
          </w:p>
        </w:tc>
        <w:tc>
          <w:tcPr/>
          <w:p>
            <w:pPr>
              <w:pStyle w:val="Compact"/>
              <w:jc w:val="left"/>
            </w:pPr>
            <w:r>
              <w:t xml:space="preserve">96</w:t>
            </w:r>
          </w:p>
        </w:tc>
        <w:tc>
          <w:tcPr/>
          <w:p>
            <w:pPr>
              <w:pStyle w:val="Compact"/>
              <w:jc w:val="left"/>
            </w:pPr>
            <w:r>
              <w:t xml:space="preserve">$72.00</w:t>
            </w:r>
          </w:p>
        </w:tc>
        <w:tc>
          <w:tcPr/>
          <w:p>
            <w:pPr>
              <w:pStyle w:val="Compact"/>
              <w:jc w:val="left"/>
            </w:pPr>
            <w:r>
              <w:t xml:space="preserve">$6,912.00</w:t>
            </w:r>
          </w:p>
        </w:tc>
      </w:tr>
      <w:tr>
        <w:tc>
          <w:tcPr/>
          <w:p>
            <w:pPr>
              <w:pStyle w:val="Compact"/>
              <w:jc w:val="left"/>
            </w:pPr>
            <w:r>
              <w:t xml:space="preserve">03</w:t>
            </w:r>
          </w:p>
        </w:tc>
        <w:tc>
          <w:tcPr/>
          <w:p>
            <w:pPr>
              <w:pStyle w:val="Compact"/>
              <w:jc w:val="left"/>
            </w:pPr>
            <w:r>
              <w:t xml:space="preserve">Teacher Secondary — Supervision of QCAA External Examinations (Trial Exams) for Year 12 students, including marking, moderation, and feedback reports</w:t>
            </w:r>
          </w:p>
        </w:tc>
        <w:tc>
          <w:tcPr/>
          <w:p>
            <w:pPr>
              <w:pStyle w:val="Compact"/>
              <w:jc w:val="left"/>
            </w:pPr>
            <w:r>
              <w:t xml:space="preserve">Apr–May 2025</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04</w:t>
            </w:r>
          </w:p>
        </w:tc>
        <w:tc>
          <w:tcPr/>
          <w:p>
            <w:pPr>
              <w:pStyle w:val="Compact"/>
              <w:jc w:val="left"/>
            </w:pPr>
            <w:r>
              <w:t xml:space="preserve">Teacher Secondary — Development and delivery of the Brisbane Secondary STEM Enrichment Program (after-school elective for Years 9–12)</w:t>
            </w:r>
          </w:p>
        </w:tc>
        <w:tc>
          <w:tcPr/>
          <w:p>
            <w:pPr>
              <w:pStyle w:val="Compact"/>
              <w:jc w:val="left"/>
            </w:pPr>
            <w:r>
              <w:t xml:space="preserve">Mar–Jun 2025</w:t>
            </w:r>
          </w:p>
        </w:tc>
        <w:tc>
          <w:tcPr/>
          <w:p>
            <w:pPr>
              <w:pStyle w:val="Compact"/>
              <w:jc w:val="left"/>
            </w:pPr>
            <w:r>
              <w:t xml:space="preserve">48</w:t>
            </w:r>
          </w:p>
        </w:tc>
        <w:tc>
          <w:tcPr/>
          <w:p>
            <w:pPr>
              <w:pStyle w:val="Compact"/>
              <w:jc w:val="left"/>
            </w:pPr>
            <w:r>
              <w:t xml:space="preserve">$78.00</w:t>
            </w:r>
          </w:p>
        </w:tc>
        <w:tc>
          <w:tcPr/>
          <w:p>
            <w:pPr>
              <w:pStyle w:val="Compact"/>
              <w:jc w:val="left"/>
            </w:pPr>
            <w:r>
              <w:t xml:space="preserve">$3,744.00</w:t>
            </w:r>
          </w:p>
        </w:tc>
      </w:tr>
      <w:tr>
        <w:tc>
          <w:tcPr/>
          <w:p>
            <w:pPr>
              <w:pStyle w:val="Compact"/>
              <w:jc w:val="left"/>
            </w:pPr>
            <w:r>
              <w:t xml:space="preserve">05</w:t>
            </w:r>
          </w:p>
        </w:tc>
        <w:tc>
          <w:tcPr/>
          <w:p>
            <w:pPr>
              <w:pStyle w:val="Compact"/>
              <w:jc w:val="left"/>
            </w:pPr>
            <w:r>
              <w:t xml:space="preserve">Teacher Secondary — Parent-Teacher Consultation sessions, individual student progress reporting, and IEP (Individual Education Plan) updates for 34 students</w:t>
            </w:r>
          </w:p>
        </w:tc>
        <w:tc>
          <w:tcPr/>
          <w:p>
            <w:pPr>
              <w:pStyle w:val="Compact"/>
              <w:jc w:val="left"/>
            </w:pPr>
            <w:r>
              <w:t xml:space="preserve">Apr–Jun 2025</w:t>
            </w:r>
          </w:p>
        </w:tc>
        <w:tc>
          <w:tcPr/>
          <w:p>
            <w:pPr>
              <w:pStyle w:val="Compact"/>
              <w:jc w:val="left"/>
            </w:pPr>
            <w:r>
              <w:t xml:space="preserve">32</w:t>
            </w:r>
          </w:p>
        </w:tc>
        <w:tc>
          <w:tcPr/>
          <w:p>
            <w:pPr>
              <w:pStyle w:val="Compact"/>
              <w:jc w:val="left"/>
            </w:pPr>
            <w:r>
              <w:t xml:space="preserve">$62.00</w:t>
            </w:r>
          </w:p>
        </w:tc>
        <w:tc>
          <w:tcPr/>
          <w:p>
            <w:pPr>
              <w:pStyle w:val="Compact"/>
              <w:jc w:val="left"/>
            </w:pPr>
            <w:r>
              <w:t xml:space="preserve">$1,984.00</w:t>
            </w:r>
          </w:p>
        </w:tc>
      </w:tr>
      <w:tr>
        <w:tc>
          <w:tcPr/>
          <w:p>
            <w:pPr>
              <w:pStyle w:val="Compact"/>
              <w:jc w:val="left"/>
            </w:pPr>
            <w:r>
              <w:t xml:space="preserve">06</w:t>
            </w:r>
          </w:p>
        </w:tc>
        <w:tc>
          <w:tcPr/>
          <w:p>
            <w:pPr>
              <w:pStyle w:val="Compact"/>
              <w:jc w:val="left"/>
            </w:pPr>
            <w:r>
              <w:t xml:space="preserve">Teacher Secondary — Professional development workshop delivery: "Integrating Digital Literacy in Secondary Mathematics" for Brisbane regional secondary school staff</w:t>
            </w:r>
          </w:p>
        </w:tc>
        <w:tc>
          <w:tcPr/>
          <w:p>
            <w:pPr>
              <w:pStyle w:val="Compact"/>
              <w:jc w:val="left"/>
            </w:pPr>
            <w:r>
              <w:t xml:space="preserve">May 2025</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07</w:t>
            </w:r>
          </w:p>
        </w:tc>
        <w:tc>
          <w:tcPr/>
          <w:p>
            <w:pPr>
              <w:pStyle w:val="Compact"/>
              <w:jc w:val="left"/>
            </w:pPr>
            <w:r>
              <w:t xml:space="preserve">Teacher Secondary — Curriculum mapping and cross-referencing for the 2026 academic year (Mathematics &amp; Science departments), submitted to the Brisbane school board</w:t>
            </w:r>
          </w:p>
        </w:tc>
        <w:tc>
          <w:tcPr/>
          <w:p>
            <w:pPr>
              <w:pStyle w:val="Compact"/>
              <w:jc w:val="left"/>
            </w:pPr>
            <w:r>
              <w:t xml:space="preserve">Jun 2025</w:t>
            </w:r>
          </w:p>
        </w:tc>
        <w:tc>
          <w:tcPr/>
          <w:p>
            <w:pPr>
              <w:pStyle w:val="Compact"/>
              <w:jc w:val="left"/>
            </w:pPr>
            <w:r>
              <w:t xml:space="preserve">16</w:t>
            </w:r>
          </w:p>
        </w:tc>
        <w:tc>
          <w:tcPr/>
          <w:p>
            <w:pPr>
              <w:pStyle w:val="Compact"/>
              <w:jc w:val="left"/>
            </w:pPr>
            <w:r>
              <w:t xml:space="preserve">$75.00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$25,060.00</w:t>
            </w:r>
          </w:p>
        </w:tc>
      </w:tr>
      <w:tr>
        <w:tc>
          <w:tcPr/>
          <w:p>
            <w:pPr>
              <w:pStyle w:val="Compact"/>
              <w:jc w:val="left"/>
            </w:pPr>
            <w:r>
              <w:t xml:space="preserve">GST @ 10% (Australian Goods and Services Tax)</w:t>
            </w:r>
          </w:p>
        </w:tc>
        <w:tc>
          <w:tcPr/>
          <w:p>
            <w:pPr>
              <w:pStyle w:val="Compact"/>
              <w:jc w:val="right"/>
            </w:pPr>
            <w:r>
              <w:t xml:space="preserve">$2,506.00</w:t>
            </w:r>
          </w:p>
        </w:tc>
      </w:tr>
      <w:tr>
        <w:tc>
          <w:tcPr/>
          <w:p>
            <w:pPr>
              <w:pStyle w:val="Compact"/>
              <w:jc w:val="left"/>
            </w:pPr>
            <w:r>
              <w:t xml:space="preserve">TOTAL AMOUNT DUE (AUD)</w:t>
            </w:r>
          </w:p>
        </w:tc>
        <w:tc>
          <w:tcPr/>
          <w:p>
            <w:pPr>
              <w:pStyle w:val="Compact"/>
              <w:jc w:val="right"/>
            </w:pPr>
            <w:r>
              <w:t xml:space="preserve">$27,566.00</w:t>
            </w:r>
          </w:p>
        </w:tc>
      </w:tr>
    </w:tbl>
    <w:bookmarkStart w:id="24" w:name="payment-instructions-australia-brisbane"/>
    <w:p>
      <w:pPr>
        <w:pStyle w:val="Heading4"/>
      </w:pPr>
      <w:r>
        <w:t xml:space="preserve">Payment Instructions — Australia Brisbane</w:t>
      </w:r>
    </w:p>
    <w:p>
      <w:pPr>
        <w:pStyle w:val="FirstParagraph"/>
      </w:pPr>
      <w:r>
        <w:rPr>
          <w:bCs/>
          <w:b/>
        </w:rPr>
        <w:t xml:space="preserve">Bank:</w:t>
      </w:r>
      <w:r>
        <w:t xml:space="preserve"> </w:t>
      </w:r>
      <w:r>
        <w:t xml:space="preserve">Commonwealth Bank of Australia (CBA)</w:t>
      </w:r>
    </w:p>
    <w:p>
      <w:pPr>
        <w:pStyle w:val="BodyText"/>
      </w:pPr>
      <w:r>
        <w:rPr>
          <w:bCs/>
          <w:b/>
        </w:rPr>
        <w:t xml:space="preserve">Account Name:</w:t>
      </w:r>
      <w:r>
        <w:t xml:space="preserve"> </w:t>
      </w:r>
      <w:r>
        <w:t xml:space="preserve">Brisbane Secondary Education Services Pty Ltd</w:t>
      </w:r>
    </w:p>
    <w:p>
      <w:pPr>
        <w:pStyle w:val="BodyText"/>
      </w:pPr>
      <w:r>
        <w:rPr>
          <w:bCs/>
          <w:b/>
        </w:rPr>
        <w:t xml:space="preserve">BSB:</w:t>
      </w:r>
      <w:r>
        <w:t xml:space="preserve"> </w:t>
      </w:r>
      <w:r>
        <w:t xml:space="preserve">063-000  | </w:t>
      </w:r>
      <w:r>
        <w:t xml:space="preserve"> </w:t>
      </w:r>
      <w:r>
        <w:rPr>
          <w:bCs/>
          <w:b/>
        </w:rPr>
        <w:t xml:space="preserve">Account No:</w:t>
      </w:r>
      <w:r>
        <w:t xml:space="preserve"> </w:t>
      </w:r>
      <w:r>
        <w:t xml:space="preserve">1234 5678</w:t>
      </w:r>
    </w:p>
    <w:p>
      <w:pPr>
        <w:pStyle w:val="BodyText"/>
      </w:pPr>
      <w:r>
        <w:rPr>
          <w:bCs/>
          <w:b/>
        </w:rPr>
        <w:t xml:space="preserve">Reference:</w:t>
      </w:r>
      <w:r>
        <w:t xml:space="preserve"> </w:t>
      </w:r>
      <w:r>
        <w:t xml:space="preserve">INV-2025-0847</w:t>
      </w:r>
    </w:p>
    <w:p>
      <w:pPr>
        <w:pStyle w:val="BodyText"/>
      </w:pPr>
      <w:r>
        <w:t xml:space="preserve">Please ensure payment is remitted within fourteen (14) calendar days of the issue date stated above. Late payments may incur interest at the rate prescribed under the Queensland</w:t>
      </w:r>
      <w:r>
        <w:t xml:space="preserve"> </w:t>
      </w:r>
      <w:r>
        <w:rPr>
          <w:iCs/>
          <w:i/>
        </w:rPr>
        <w:t xml:space="preserve">Interest on Late Payments of Compensation Act 2003</w:t>
      </w:r>
      <w:r>
        <w:t xml:space="preserve">. All amounts are quoted in Australian Dollars (AUD) and are subject to the 10% Goods and Services Tax (GST) as administered by the Australian Taxation Office (ATO).</w:t>
      </w:r>
    </w:p>
    <w:bookmarkEnd w:id="24"/>
    <w:bookmarkStart w:id="25" w:name="important-notes-regarding-this-invoice"/>
    <w:p>
      <w:pPr>
        <w:pStyle w:val="Heading4"/>
      </w:pPr>
      <w:r>
        <w:t xml:space="preserve">Important Notes Regarding This Invoice</w:t>
      </w:r>
    </w:p>
    <w:p>
      <w:pPr>
        <w:pStyle w:val="FirstParagraph"/>
      </w:pPr>
      <w:r>
        <w:t xml:space="preserve">1. This Invoice has been issued in accordance with the Australian Business Tax Common Rules and the Queensland Education Act 2013 governing the engagement of Teacher Secondary personnel in public and private secondary institutions within the Brisbane metropolitan area.</w:t>
      </w:r>
    </w:p>
    <w:p>
      <w:pPr>
        <w:pStyle w:val="BodyText"/>
      </w:pPr>
      <w:r>
        <w:t xml:space="preserve">2. All Teacher Secondary services listed above were delivered by a fully registered and accredited secondary school teacher holding a valid Queensland College of Teachers (QCT) registration and a Bachelor of Education (Secondary) degree from the University of Queensland, Brisbane.</w:t>
      </w:r>
    </w:p>
    <w:p>
      <w:pPr>
        <w:pStyle w:val="BodyText"/>
      </w:pPr>
      <w:r>
        <w:t xml:space="preserve">3. The rates specified reflect the standard Teacher Secondary professional fee schedule for the 2024–2025 academic year as negotiated between the service provider and the Brisbane secondary school administration.</w:t>
      </w:r>
    </w:p>
    <w:p>
      <w:pPr>
        <w:pStyle w:val="BodyText"/>
      </w:pPr>
      <w:r>
        <w:t xml:space="preserve">4. Should any disputes arise regarding the services invoiced, both parties agree to resolve matters through mediation under the Queensland Civil and Administrative Tribunal (QCAT) before pursuing any further legal action.</w:t>
      </w:r>
    </w:p>
    <w:p>
      <w:pPr>
        <w:pStyle w:val="BodyText"/>
      </w:pPr>
      <w:r>
        <w:t xml:space="preserve">5. This Invoice constitutes a legally binding document under Australian commercial law. A copy of this Invoice should be retained for a minimum of seven (7) years in compliance with Australian record-keeping obligations.</w:t>
      </w:r>
    </w:p>
    <w:bookmarkEnd w:id="25"/>
    <w:p>
      <w:pPr>
        <w:pStyle w:val="BodyText"/>
      </w:pPr>
      <w:r>
        <w:rPr>
          <w:bCs/>
          <w:b/>
        </w:rPr>
        <w:t xml:space="preserve">Brisbane Secondary Education Services Pty Ltd</w:t>
      </w:r>
      <w:r>
        <w:t xml:space="preserve"> </w:t>
      </w:r>
      <w:r>
        <w:t xml:space="preserve">— ABN 54 123 456 789 — 42 George Street, Brisbane QLD 4000, Australia</w:t>
      </w:r>
    </w:p>
    <w:p>
      <w:pPr>
        <w:pStyle w:val="BodyText"/>
      </w:pPr>
      <w:r>
        <w:t xml:space="preserve">This Invoice was generated on 15 June 2025. For queries regarding this Invoice, please contact our Brisbane office at +61 7 3100 4521 or billing@brisbanesecondaryedu.com.au.</w:t>
      </w:r>
    </w:p>
    <w:p>
      <w:pPr>
        <w:pStyle w:val="BodyText"/>
      </w:pPr>
      <w:r>
        <w:t xml:space="preserve">© 2025 Brisbane Secondary Education Services Pty Ltd. All rights reserved. This document is the property of the issuing entity and is intended solely for the addressee named above.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Australia Brisbane</dc:title>
  <dc:creator/>
  <dc:language>en</dc:language>
  <cp:keywords/>
  <dcterms:created xsi:type="dcterms:W3CDTF">2026-10-10T03:39:38Z</dcterms:created>
  <dcterms:modified xsi:type="dcterms:W3CDTF">2026-10-10T03:39:38Z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