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Brazil</w:t>
      </w:r>
      <w:r>
        <w:t xml:space="preserve"> </w:t>
      </w:r>
      <w:r>
        <w:t xml:space="preserve">São</w:t>
      </w:r>
      <w:r>
        <w:t xml:space="preserve"> </w:t>
      </w:r>
      <w:r>
        <w:t xml:space="preserve">Paulo</w:t>
      </w:r>
    </w:p>
    <w:bookmarkStart w:id="20" w:name="teacher-secondary"/>
    <w:p>
      <w:pPr>
        <w:pStyle w:val="Heading1"/>
      </w:pPr>
      <w:r>
        <w:t xml:space="preserve">Teacher Secondary</w:t>
      </w:r>
    </w:p>
    <w:p>
      <w:pPr>
        <w:pStyle w:val="FirstParagraph"/>
      </w:pPr>
      <w:r>
        <w:t xml:space="preserve">Professional Secondary Education Services</w:t>
      </w:r>
    </w:p>
    <w:p>
      <w:pPr>
        <w:pStyle w:val="BodyText"/>
      </w:pPr>
      <w:r>
        <w:t xml:space="preserve">Rua Augusta, 1250 – Consolação</w:t>
      </w:r>
    </w:p>
    <w:p>
      <w:pPr>
        <w:pStyle w:val="BodyText"/>
      </w:pPr>
      <w:r>
        <w:t xml:space="preserve">São Paulo, SP – CEP 01304-001</w:t>
      </w:r>
    </w:p>
    <w:p>
      <w:pPr>
        <w:pStyle w:val="BodyText"/>
      </w:pPr>
      <w:r>
        <w:t xml:space="preserve">Brazil</w:t>
      </w:r>
    </w:p>
    <w:p>
      <w:pPr>
        <w:pStyle w:val="BodyText"/>
      </w:pPr>
      <w:r>
        <w:t xml:space="preserve">CNPJ: 12.345.678/0001-90</w:t>
      </w:r>
    </w:p>
    <w:p>
      <w:pPr>
        <w:pStyle w:val="BodyText"/>
      </w:pPr>
      <w:r>
        <w:t xml:space="preserve">Phone: +55 (11) 3456-7890</w:t>
      </w:r>
    </w:p>
    <w:p>
      <w:pPr>
        <w:pStyle w:val="BodyText"/>
      </w:pPr>
      <w:r>
        <w:t xml:space="preserve">Email: billing@teacherssecondary.com.br</w:t>
      </w:r>
    </w:p>
    <w:bookmarkEnd w:id="20"/>
    <w:p>
      <w:pPr>
        <w:pStyle w:val="BodyText"/>
      </w:pPr>
      <w:r>
        <w:t xml:space="preserve">Official Invoice</w:t>
      </w:r>
    </w:p>
    <w:bookmarkStart w:id="21" w:name="invoice"/>
    <w:p>
      <w:pPr>
        <w:pStyle w:val="Heading2"/>
      </w:pPr>
      <w:r>
        <w:t xml:space="preserve">INVOICE</w:t>
      </w:r>
    </w:p>
    <w:p>
      <w:pPr>
        <w:pStyle w:val="FirstParagraph"/>
      </w:pPr>
      <w:r>
        <w:rPr>
          <w:bCs/>
          <w:b/>
        </w:rPr>
        <w:t xml:space="preserve">Invoice Number:</w:t>
      </w:r>
      <w:r>
        <w:t xml:space="preserve"> </w:t>
      </w:r>
      <w:r>
        <w:t xml:space="preserve">TS-2025-04872</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15,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January 2025</w:t>
      </w:r>
    </w:p>
    <w:bookmarkEnd w:id="21"/>
    <w:bookmarkStart w:id="22" w:name="bill-to"/>
    <w:p>
      <w:pPr>
        <w:pStyle w:val="Heading3"/>
      </w:pPr>
      <w:r>
        <w:t xml:space="preserve">Bill To</w:t>
      </w:r>
    </w:p>
    <w:p>
      <w:pPr>
        <w:pStyle w:val="FirstParagraph"/>
      </w:pPr>
      <w:r>
        <w:rPr>
          <w:bCs/>
          <w:b/>
        </w:rPr>
        <w:t xml:space="preserve">Institution:</w:t>
      </w:r>
      <w:r>
        <w:t xml:space="preserve"> </w:t>
      </w:r>
      <w:r>
        <w:t xml:space="preserve">Colégio Estadual de Ensino Médio Paulista</w:t>
      </w:r>
    </w:p>
    <w:p>
      <w:pPr>
        <w:pStyle w:val="BodyText"/>
      </w:pPr>
      <w:r>
        <w:rPr>
          <w:bCs/>
          <w:b/>
        </w:rPr>
        <w:t xml:space="preserve">Address:</w:t>
      </w:r>
      <w:r>
        <w:t xml:space="preserve"> </w:t>
      </w:r>
      <w:r>
        <w:t xml:space="preserve">Av. Paulista, 2345 – Bela Vista</w:t>
      </w:r>
    </w:p>
    <w:p>
      <w:pPr>
        <w:pStyle w:val="BodyText"/>
      </w:pPr>
      <w:r>
        <w:rPr>
          <w:bCs/>
          <w:b/>
        </w:rPr>
        <w:t xml:space="preserve">City/State:</w:t>
      </w:r>
      <w:r>
        <w:t xml:space="preserve"> </w:t>
      </w:r>
      <w:r>
        <w:t xml:space="preserve">São Paulo, SP – CEP 01310-300</w:t>
      </w:r>
    </w:p>
    <w:p>
      <w:pPr>
        <w:pStyle w:val="BodyText"/>
      </w:pPr>
      <w:r>
        <w:rPr>
          <w:bCs/>
          <w:b/>
        </w:rPr>
        <w:t xml:space="preserve">Country:</w:t>
      </w:r>
      <w:r>
        <w:t xml:space="preserve"> </w:t>
      </w:r>
      <w:r>
        <w:t xml:space="preserve">Brazil</w:t>
      </w:r>
    </w:p>
    <w:p>
      <w:pPr>
        <w:pStyle w:val="BodyText"/>
      </w:pPr>
      <w:r>
        <w:rPr>
          <w:bCs/>
          <w:b/>
        </w:rPr>
        <w:t xml:space="preserve">Attn:</w:t>
      </w:r>
      <w:r>
        <w:t xml:space="preserve"> </w:t>
      </w:r>
      <w:r>
        <w:t xml:space="preserve">Coordenação Financeira</w:t>
      </w:r>
    </w:p>
    <w:p>
      <w:pPr>
        <w:pStyle w:val="BodyText"/>
      </w:pPr>
      <w:r>
        <w:rPr>
          <w:bCs/>
          <w:b/>
        </w:rPr>
        <w:t xml:space="preserve">Reference:</w:t>
      </w:r>
      <w:r>
        <w:t xml:space="preserve"> </w:t>
      </w:r>
      <w:r>
        <w:t xml:space="preserve">Proc. Nº 2025/00341-SP</w:t>
      </w:r>
    </w:p>
    <w:bookmarkEnd w:id="22"/>
    <w:bookmarkStart w:id="23" w:name="service-provider"/>
    <w:p>
      <w:pPr>
        <w:pStyle w:val="Heading3"/>
      </w:pPr>
      <w:r>
        <w:t xml:space="preserve">Service Provider</w:t>
      </w:r>
    </w:p>
    <w:p>
      <w:pPr>
        <w:pStyle w:val="FirstParagraph"/>
      </w:pPr>
      <w:r>
        <w:rPr>
          <w:bCs/>
          <w:b/>
        </w:rPr>
        <w:t xml:space="preserve">Name:</w:t>
      </w:r>
      <w:r>
        <w:t xml:space="preserve"> </w:t>
      </w:r>
      <w:r>
        <w:t xml:space="preserve">Teacher Secondary</w:t>
      </w:r>
    </w:p>
    <w:p>
      <w:pPr>
        <w:pStyle w:val="BodyText"/>
      </w:pPr>
      <w:r>
        <w:rPr>
          <w:bCs/>
          <w:b/>
        </w:rPr>
        <w:t xml:space="preserve">Role:</w:t>
      </w:r>
      <w:r>
        <w:t xml:space="preserve"> </w:t>
      </w:r>
      <w:r>
        <w:t xml:space="preserve">Secondary Education Instructor</w:t>
      </w:r>
    </w:p>
    <w:p>
      <w:pPr>
        <w:pStyle w:val="BodyText"/>
      </w:pPr>
      <w:r>
        <w:rPr>
          <w:bCs/>
          <w:b/>
        </w:rPr>
        <w:t xml:space="preserve">Specialization:</w:t>
      </w:r>
      <w:r>
        <w:t xml:space="preserve"> </w:t>
      </w:r>
      <w:r>
        <w:t xml:space="preserve">Mathematics &amp; Natural Sciences</w:t>
      </w:r>
    </w:p>
    <w:p>
      <w:pPr>
        <w:pStyle w:val="BodyText"/>
      </w:pPr>
      <w:r>
        <w:rPr>
          <w:bCs/>
          <w:b/>
        </w:rPr>
        <w:t xml:space="preserve">Registration:</w:t>
      </w:r>
      <w:r>
        <w:t xml:space="preserve"> </w:t>
      </w:r>
      <w:r>
        <w:t xml:space="preserve">CREF-SP 45.678/2025</w:t>
      </w:r>
    </w:p>
    <w:p>
      <w:pPr>
        <w:pStyle w:val="BodyText"/>
      </w:pPr>
      <w:r>
        <w:rPr>
          <w:bCs/>
          <w:b/>
        </w:rPr>
        <w:t xml:space="preserve">Location:</w:t>
      </w:r>
      <w:r>
        <w:t xml:space="preserve"> </w:t>
      </w:r>
      <w:r>
        <w:t xml:space="preserve">São Paulo, Brazil</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Teacher Secondary – Mathematics Instruction for 9th Grade (Ensino Fundamental II), São Paulo public school network. Includes lesson planning, classroom delivery, and assessment design aligned with the BNCC curriculum standards.</w:t>
            </w:r>
          </w:p>
        </w:tc>
        <w:tc>
          <w:tcPr/>
          <w:p>
            <w:pPr>
              <w:pStyle w:val="Compact"/>
              <w:jc w:val="left"/>
            </w:pPr>
            <w:r>
              <w:t xml:space="preserve">40</w:t>
            </w:r>
          </w:p>
        </w:tc>
        <w:tc>
          <w:tcPr/>
          <w:p>
            <w:pPr>
              <w:pStyle w:val="Compact"/>
              <w:jc w:val="left"/>
            </w:pPr>
            <w:r>
              <w:t xml:space="preserve">R$ 85.00</w:t>
            </w:r>
          </w:p>
        </w:tc>
        <w:tc>
          <w:tcPr/>
          <w:p>
            <w:pPr>
              <w:pStyle w:val="Compact"/>
              <w:jc w:val="left"/>
            </w:pPr>
            <w:r>
              <w:t xml:space="preserve">R$ 3,400.00</w:t>
            </w:r>
          </w:p>
        </w:tc>
      </w:tr>
      <w:tr>
        <w:tc>
          <w:tcPr/>
          <w:p>
            <w:pPr>
              <w:pStyle w:val="Compact"/>
              <w:jc w:val="left"/>
            </w:pPr>
            <w:r>
              <w:t xml:space="preserve">02</w:t>
            </w:r>
          </w:p>
        </w:tc>
        <w:tc>
          <w:tcPr/>
          <w:p>
            <w:pPr>
              <w:pStyle w:val="Compact"/>
              <w:jc w:val="left"/>
            </w:pPr>
            <w:r>
              <w:t xml:space="preserve">Teacher Secondary – Natural Sciences (Physics &amp; Chemistry) Instruction for 1st Year of Ensino Médio. Covers thermodynamics, chemical reactions, and laboratory supervision at the São Paulo educational facility.</w:t>
            </w:r>
          </w:p>
        </w:tc>
        <w:tc>
          <w:tcPr/>
          <w:p>
            <w:pPr>
              <w:pStyle w:val="Compact"/>
              <w:jc w:val="left"/>
            </w:pPr>
            <w:r>
              <w:t xml:space="preserve">32</w:t>
            </w:r>
          </w:p>
        </w:tc>
        <w:tc>
          <w:tcPr/>
          <w:p>
            <w:pPr>
              <w:pStyle w:val="Compact"/>
              <w:jc w:val="left"/>
            </w:pPr>
            <w:r>
              <w:t xml:space="preserve">R$ 92.00</w:t>
            </w:r>
          </w:p>
        </w:tc>
        <w:tc>
          <w:tcPr/>
          <w:p>
            <w:pPr>
              <w:pStyle w:val="Compact"/>
              <w:jc w:val="left"/>
            </w:pPr>
            <w:r>
              <w:t xml:space="preserve">R$ 2,944.00</w:t>
            </w:r>
          </w:p>
        </w:tc>
      </w:tr>
      <w:tr>
        <w:tc>
          <w:tcPr/>
          <w:p>
            <w:pPr>
              <w:pStyle w:val="Compact"/>
              <w:jc w:val="left"/>
            </w:pPr>
            <w:r>
              <w:t xml:space="preserve">03</w:t>
            </w:r>
          </w:p>
        </w:tc>
        <w:tc>
          <w:tcPr/>
          <w:p>
            <w:pPr>
              <w:pStyle w:val="Compact"/>
              <w:jc w:val="left"/>
            </w:pPr>
            <w:r>
              <w:t xml:space="preserve">Teacher Secondary – Extracurricular Tutoring Program for underperforming students in the São Paulo municipal education system. Individualized remedial sessions conducted after regular school hours at the designated campus.</w:t>
            </w:r>
          </w:p>
        </w:tc>
        <w:tc>
          <w:tcPr/>
          <w:p>
            <w:pPr>
              <w:pStyle w:val="Compact"/>
              <w:jc w:val="left"/>
            </w:pPr>
            <w:r>
              <w:t xml:space="preserve">20</w:t>
            </w:r>
          </w:p>
        </w:tc>
        <w:tc>
          <w:tcPr/>
          <w:p>
            <w:pPr>
              <w:pStyle w:val="Compact"/>
              <w:jc w:val="left"/>
            </w:pPr>
            <w:r>
              <w:t xml:space="preserve">R$ 110.00</w:t>
            </w:r>
          </w:p>
        </w:tc>
        <w:tc>
          <w:tcPr/>
          <w:p>
            <w:pPr>
              <w:pStyle w:val="Compact"/>
              <w:jc w:val="left"/>
            </w:pPr>
            <w:r>
              <w:t xml:space="preserve">R$ 2,200.00</w:t>
            </w:r>
          </w:p>
        </w:tc>
      </w:tr>
      <w:tr>
        <w:tc>
          <w:tcPr/>
          <w:p>
            <w:pPr>
              <w:pStyle w:val="Compact"/>
              <w:jc w:val="left"/>
            </w:pPr>
            <w:r>
              <w:t xml:space="preserve">04</w:t>
            </w:r>
          </w:p>
        </w:tc>
        <w:tc>
          <w:tcPr/>
          <w:p>
            <w:pPr>
              <w:pStyle w:val="Compact"/>
              <w:jc w:val="left"/>
            </w:pPr>
            <w:r>
              <w:t xml:space="preserve">Teacher Secondary – Curriculum Development and Pedagogical Planning Consultation. Preparation of semester-long instructional materials, rubrics, and evaluation frameworks compliant with São Paulo State Department of Education (SEDUC-SP) regulations.</w:t>
            </w:r>
          </w:p>
        </w:tc>
        <w:tc>
          <w:tcPr/>
          <w:p>
            <w:pPr>
              <w:pStyle w:val="Compact"/>
              <w:jc w:val="left"/>
            </w:pPr>
            <w:r>
              <w:t xml:space="preserve">16</w:t>
            </w:r>
          </w:p>
        </w:tc>
        <w:tc>
          <w:tcPr/>
          <w:p>
            <w:pPr>
              <w:pStyle w:val="Compact"/>
              <w:jc w:val="left"/>
            </w:pPr>
            <w:r>
              <w:t xml:space="preserve">R$ 125.00</w:t>
            </w:r>
          </w:p>
        </w:tc>
        <w:tc>
          <w:tcPr/>
          <w:p>
            <w:pPr>
              <w:pStyle w:val="Compact"/>
              <w:jc w:val="left"/>
            </w:pPr>
            <w:r>
              <w:t xml:space="preserve">R$ 2,000.00</w:t>
            </w:r>
          </w:p>
        </w:tc>
      </w:tr>
      <w:tr>
        <w:tc>
          <w:tcPr/>
          <w:p>
            <w:pPr>
              <w:pStyle w:val="Compact"/>
              <w:jc w:val="left"/>
            </w:pPr>
            <w:r>
              <w:t xml:space="preserve">05</w:t>
            </w:r>
          </w:p>
        </w:tc>
        <w:tc>
          <w:tcPr/>
          <w:p>
            <w:pPr>
              <w:pStyle w:val="Compact"/>
              <w:jc w:val="left"/>
            </w:pPr>
            <w:r>
              <w:t xml:space="preserve">Teacher Secondary – Parent-Teacher Conference Facilitation and Student Progress Reporting. Preparation and delivery of individualized academic progress reports for all enrolled students in the São Paulo secondary program.</w:t>
            </w:r>
          </w:p>
        </w:tc>
        <w:tc>
          <w:tcPr/>
          <w:p>
            <w:pPr>
              <w:pStyle w:val="Compact"/>
              <w:jc w:val="left"/>
            </w:pPr>
            <w:r>
              <w:t xml:space="preserve">8</w:t>
            </w:r>
          </w:p>
        </w:tc>
        <w:tc>
          <w:tcPr/>
          <w:p>
            <w:pPr>
              <w:pStyle w:val="Compact"/>
              <w:jc w:val="left"/>
            </w:pPr>
            <w:r>
              <w:t xml:space="preserve">R$ 95.00</w:t>
            </w:r>
          </w:p>
        </w:tc>
        <w:tc>
          <w:tcPr/>
          <w:p>
            <w:pPr>
              <w:pStyle w:val="Compact"/>
              <w:jc w:val="left"/>
            </w:pPr>
            <w:r>
              <w:t xml:space="preserve">R$ 760.00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R$ 11,304.00</w:t>
            </w:r>
          </w:p>
        </w:tc>
      </w:tr>
      <w:tr>
        <w:tc>
          <w:tcPr/>
          <w:p>
            <w:pPr>
              <w:pStyle w:val="Compact"/>
              <w:jc w:val="left"/>
            </w:pPr>
            <w:r>
              <w:t xml:space="preserve">Applicable Tax (ISS – São Paulo Municipal Tax, 2.5%)</w:t>
            </w:r>
          </w:p>
        </w:tc>
        <w:tc>
          <w:tcPr/>
          <w:p>
            <w:pPr>
              <w:pStyle w:val="Compact"/>
              <w:jc w:val="left"/>
            </w:pPr>
            <w:r>
              <w:t xml:space="preserve">R$ 282.60</w:t>
            </w:r>
          </w:p>
        </w:tc>
      </w:tr>
      <w:tr>
        <w:tc>
          <w:tcPr/>
          <w:p>
            <w:pPr>
              <w:pStyle w:val="Compact"/>
              <w:jc w:val="left"/>
            </w:pPr>
            <w:r>
              <w:t xml:space="preserve">INSS Social Contribution (11%)</w:t>
            </w:r>
          </w:p>
        </w:tc>
        <w:tc>
          <w:tcPr/>
          <w:p>
            <w:pPr>
              <w:pStyle w:val="Compact"/>
              <w:jc w:val="left"/>
            </w:pPr>
            <w:r>
              <w:t xml:space="preserve">R$ 1,243.44</w:t>
            </w:r>
          </w:p>
        </w:tc>
      </w:tr>
      <w:tr>
        <w:tc>
          <w:tcPr/>
          <w:p>
            <w:pPr>
              <w:pStyle w:val="Compact"/>
              <w:jc w:val="left"/>
            </w:pPr>
            <w:r>
              <w:t xml:space="preserve">IRRF Income Tax Withholding (3%)</w:t>
            </w:r>
          </w:p>
        </w:tc>
        <w:tc>
          <w:tcPr/>
          <w:p>
            <w:pPr>
              <w:pStyle w:val="Compact"/>
              <w:jc w:val="left"/>
            </w:pPr>
            <w:r>
              <w:t xml:space="preserve">R$ 339.12</w:t>
            </w:r>
          </w:p>
        </w:tc>
      </w:tr>
      <w:tr>
        <w:tc>
          <w:tcPr/>
          <w:p>
            <w:pPr>
              <w:pStyle w:val="Compact"/>
              <w:jc w:val="left"/>
            </w:pPr>
            <w:r>
              <w:t xml:space="preserve">Grand Total Due</w:t>
            </w:r>
          </w:p>
        </w:tc>
        <w:tc>
          <w:tcPr/>
          <w:p>
            <w:pPr>
              <w:pStyle w:val="Compact"/>
              <w:jc w:val="left"/>
            </w:pPr>
            <w:r>
              <w:t xml:space="preserve">R$ 12,169.14</w:t>
            </w:r>
          </w:p>
        </w:tc>
      </w:tr>
    </w:tbl>
    <w:bookmarkStart w:id="24" w:name="payment-instructions-terms"/>
    <w:p>
      <w:pPr>
        <w:pStyle w:val="Heading3"/>
      </w:pPr>
      <w:r>
        <w:t xml:space="preserve">Payment Instructions &amp; Terms</w:t>
      </w:r>
    </w:p>
    <w:p>
      <w:pPr>
        <w:pStyle w:val="FirstParagraph"/>
      </w:pPr>
      <w:r>
        <w:t xml:space="preserve">This Invoice, issued by Teacher Secondary operating within the jurisdiction of São Paulo, Brazil, is payable in full by the due date indicated above. Payment shall be made via bank transfer (TED/PIX) to the following account:</w:t>
      </w:r>
    </w:p>
    <w:p>
      <w:pPr>
        <w:numPr>
          <w:ilvl w:val="0"/>
          <w:numId w:val="1001"/>
        </w:numPr>
        <w:pStyle w:val="Compact"/>
      </w:pPr>
      <w:r>
        <w:rPr>
          <w:bCs/>
          <w:b/>
        </w:rPr>
        <w:t xml:space="preserve">Bank:</w:t>
      </w:r>
      <w:r>
        <w:t xml:space="preserve"> </w:t>
      </w:r>
      <w:r>
        <w:t xml:space="preserve">Banco do Brasil S.A.</w:t>
      </w:r>
    </w:p>
    <w:p>
      <w:pPr>
        <w:numPr>
          <w:ilvl w:val="0"/>
          <w:numId w:val="1001"/>
        </w:numPr>
        <w:pStyle w:val="Compact"/>
      </w:pPr>
      <w:r>
        <w:rPr>
          <w:bCs/>
          <w:b/>
        </w:rPr>
        <w:t xml:space="preserve">Branch (Agência):</w:t>
      </w:r>
      <w:r>
        <w:t xml:space="preserve"> </w:t>
      </w:r>
      <w:r>
        <w:t xml:space="preserve">1234-5</w:t>
      </w:r>
    </w:p>
    <w:p>
      <w:pPr>
        <w:numPr>
          <w:ilvl w:val="0"/>
          <w:numId w:val="1001"/>
        </w:numPr>
        <w:pStyle w:val="Compact"/>
      </w:pPr>
      <w:r>
        <w:rPr>
          <w:bCs/>
          <w:b/>
        </w:rPr>
        <w:t xml:space="preserve">Account (Conta Corrente):</w:t>
      </w:r>
      <w:r>
        <w:t xml:space="preserve"> </w:t>
      </w:r>
      <w:r>
        <w:t xml:space="preserve">98765-4</w:t>
      </w:r>
    </w:p>
    <w:p>
      <w:pPr>
        <w:numPr>
          <w:ilvl w:val="0"/>
          <w:numId w:val="1001"/>
        </w:numPr>
        <w:pStyle w:val="Compact"/>
      </w:pPr>
      <w:r>
        <w:rPr>
          <w:bCs/>
          <w:b/>
        </w:rPr>
        <w:t xml:space="preserve">PIX Key:</w:t>
      </w:r>
      <w:r>
        <w:t xml:space="preserve"> </w:t>
      </w:r>
      <w:r>
        <w:t xml:space="preserve">billing@teacherssecondary.com.br</w:t>
      </w:r>
    </w:p>
    <w:p>
      <w:pPr>
        <w:numPr>
          <w:ilvl w:val="0"/>
          <w:numId w:val="1001"/>
        </w:numPr>
        <w:pStyle w:val="Compact"/>
      </w:pPr>
      <w:r>
        <w:rPr>
          <w:bCs/>
          <w:b/>
        </w:rPr>
        <w:t xml:space="preserve">Account Holder:</w:t>
      </w:r>
      <w:r>
        <w:t xml:space="preserve"> </w:t>
      </w:r>
      <w:r>
        <w:t xml:space="preserve">Teacher Secondary – CNPJ 12.345.678/0001-90</w:t>
      </w:r>
    </w:p>
    <w:p>
      <w:pPr>
        <w:pStyle w:val="FirstParagraph"/>
      </w:pPr>
      <w:r>
        <w:t xml:space="preserve">All amounts are denominated in Brazilian Real (BRL – R$). Late payments are subject to a penalty of 2% plus interest calculated at the Selic rate per day of delay, in accordance with Brazilian commercial law (Código Civil, Art. 412). This Invoice is valid for 90 calendar days from the issue date. The service provider, Teacher Secondary, is registered and operates in full compliance with the São Paulo State Education Council (CEE-SP) and the Federal Ministry of Education (MEC) of Brazil. Any disputes arising from this Invoice shall be resolved under the jurisdiction of the courts of São Paulo, SP, Brazil. The recipient acknowledges that this Invoice constitutes a valid fiscal document for accounting and tax purposes under Brazilian legislation (Lei Complementar nº 123/2006 and applicable municipal regulations of São Paulo).</w:t>
      </w:r>
    </w:p>
    <w:bookmarkEnd w:id="24"/>
    <w:p>
      <w:pPr>
        <w:pStyle w:val="BodyText"/>
      </w:pPr>
      <w:r>
        <w:rPr>
          <w:bCs/>
          <w:b/>
        </w:rPr>
        <w:t xml:space="preserve">Teacher Secondary</w:t>
      </w:r>
      <w:r>
        <w:t xml:space="preserve"> </w:t>
      </w:r>
      <w:r>
        <w:t xml:space="preserve">– Professional Secondary Education Services | São Paulo, SP – Brazil</w:t>
      </w:r>
    </w:p>
    <w:p>
      <w:pPr>
        <w:pStyle w:val="BodyText"/>
      </w:pPr>
      <w:r>
        <w:t xml:space="preserve">CNPJ: 12.345.678/0001-90 | Insc. Municipal: 345.678.901-00 | CEE-SP Registration: 45.678/2025</w:t>
      </w:r>
    </w:p>
    <w:p>
      <w:pPr>
        <w:pStyle w:val="BodyText"/>
      </w:pPr>
      <w:r>
        <w:t xml:space="preserve">This Invoice was generated electronically and is valid without a physical signature in accordance with Brazilian electronic document regulations.</w:t>
      </w:r>
    </w:p>
    <w:p>
      <w:pPr>
        <w:pStyle w:val="BodyText"/>
      </w:pPr>
      <w:r>
        <w:t xml:space="preserve">Document Reference: TS-2025-04872 | Generated: 2025-01-15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 Brazil São Paulo</dc:title>
  <dc:creator/>
  <dc:language>en</dc:language>
  <cp:keywords/>
  <dcterms:created xsi:type="dcterms:W3CDTF">2026-10-10T05:10:27Z</dcterms:created>
  <dcterms:modified xsi:type="dcterms:W3CDTF">2026-10-10T05:10:27Z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