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Teacher Secondary Services – China Guangzhou</w:t>
      </w:r>
    </w:p>
    <w:bookmarkStart w:id="20" w:name="invoice-details"/>
    <w:p>
      <w:pPr>
        <w:pStyle w:val="Heading3"/>
      </w:pPr>
      <w:r>
        <w:t xml:space="preserve">Invoice Details</w:t>
      </w:r>
    </w:p>
    <w:p>
      <w:pPr>
        <w:pStyle w:val="FirstParagraph"/>
      </w:pPr>
      <w:r>
        <w:rPr>
          <w:bCs/>
          <w:b/>
        </w:rPr>
        <w:t xml:space="preserve">Invoice No.:</w:t>
      </w:r>
      <w:r>
        <w:t xml:space="preserve"> </w:t>
      </w:r>
      <w:r>
        <w:t xml:space="preserve">GZ-TS-2025-04872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Invoice Currency:</w:t>
      </w:r>
      <w:r>
        <w:t xml:space="preserve"> </w:t>
      </w:r>
      <w:r>
        <w:t xml:space="preserve">CNY (Chinese Yuan)</w:t>
      </w:r>
    </w:p>
    <w:p>
      <w:pPr>
        <w:pStyle w:val="BodyText"/>
      </w:pPr>
      <w:r>
        <w:rPr>
          <w:bCs/>
          <w:b/>
        </w:rPr>
        <w:t xml:space="preserve">Payment Terms:</w:t>
      </w:r>
      <w:r>
        <w:t xml:space="preserve"> </w:t>
      </w:r>
      <w:r>
        <w:t xml:space="preserve">Net 15 Days</w:t>
      </w:r>
    </w:p>
    <w:bookmarkEnd w:id="20"/>
    <w:bookmarkStart w:id="21" w:name="issued-by-service-provider"/>
    <w:p>
      <w:pPr>
        <w:pStyle w:val="Heading4"/>
      </w:pPr>
      <w:r>
        <w:t xml:space="preserve">Issued By (Service Provider)</w:t>
      </w:r>
    </w:p>
    <w:p>
      <w:pPr>
        <w:pStyle w:val="FirstParagraph"/>
      </w:pPr>
      <w:r>
        <w:rPr>
          <w:bCs/>
          <w:b/>
        </w:rPr>
        <w:t xml:space="preserve">Guangzhou Secondary Education Academy Co., Ltd.</w:t>
      </w:r>
    </w:p>
    <w:p>
      <w:pPr>
        <w:pStyle w:val="BodyText"/>
      </w:pPr>
      <w:r>
        <w:t xml:space="preserve">Building 12, Tianhe District Education Park</w:t>
      </w:r>
    </w:p>
    <w:p>
      <w:pPr>
        <w:pStyle w:val="BodyText"/>
      </w:pPr>
      <w:r>
        <w:t xml:space="preserve">Guangzhou, Guangdong Province, China 510630</w:t>
      </w:r>
    </w:p>
    <w:p>
      <w:pPr>
        <w:pStyle w:val="BodyText"/>
      </w:pPr>
      <w:r>
        <w:t xml:space="preserve">Tax ID (Unified Social Credit Code): 91440101MA5C8X7K2P</w:t>
      </w:r>
    </w:p>
    <w:p>
      <w:pPr>
        <w:pStyle w:val="BodyText"/>
      </w:pPr>
      <w:r>
        <w:t xml:space="preserve">Contact: Ms. Lin Xiaofeng, Director of Teacher Secondary Programs</w:t>
      </w:r>
    </w:p>
    <w:p>
      <w:pPr>
        <w:pStyle w:val="BodyText"/>
      </w:pPr>
      <w:r>
        <w:t xml:space="preserve">Email: finance@gz-sea-education.cn</w:t>
      </w:r>
    </w:p>
    <w:p>
      <w:pPr>
        <w:pStyle w:val="BodyText"/>
      </w:pPr>
      <w:r>
        <w:t xml:space="preserve">Phone: +86-20-8765-4321</w:t>
      </w:r>
    </w:p>
    <w:bookmarkEnd w:id="21"/>
    <w:bookmarkStart w:id="22" w:name="bill-to-client-recipient"/>
    <w:p>
      <w:pPr>
        <w:pStyle w:val="Heading4"/>
      </w:pPr>
      <w:r>
        <w:t xml:space="preserve">Bill To (Client / Recipient)</w:t>
      </w:r>
    </w:p>
    <w:p>
      <w:pPr>
        <w:pStyle w:val="FirstParagraph"/>
      </w:pPr>
      <w:r>
        <w:rPr>
          <w:bCs/>
          <w:b/>
        </w:rPr>
        <w:t xml:space="preserve">Guangzhou Municipal Bureau of Education</w:t>
      </w:r>
    </w:p>
    <w:p>
      <w:pPr>
        <w:pStyle w:val="BodyText"/>
      </w:pPr>
      <w:r>
        <w:t xml:space="preserve">Room 801, No. 288 Huanshi East Road</w:t>
      </w:r>
    </w:p>
    <w:p>
      <w:pPr>
        <w:pStyle w:val="BodyText"/>
      </w:pPr>
      <w:r>
        <w:t xml:space="preserve">Tianhe District, Guangzhou, Guangdong Province, China 510620</w:t>
      </w:r>
    </w:p>
    <w:p>
      <w:pPr>
        <w:pStyle w:val="BodyText"/>
      </w:pPr>
      <w:r>
        <w:t xml:space="preserve">Reference No.: GZ-EDU-2025-Q2-0341</w:t>
      </w:r>
    </w:p>
    <w:p>
      <w:pPr>
        <w:pStyle w:val="BodyText"/>
      </w:pPr>
      <w:r>
        <w:t xml:space="preserve">Contact: Mr. Zhang Wei, Procurement Officer</w:t>
      </w:r>
    </w:p>
    <w:p>
      <w:pPr>
        <w:pStyle w:val="BodyText"/>
      </w:pPr>
      <w:r>
        <w:t xml:space="preserve">Email: procurement@gz-edu.gov.cn</w:t>
      </w:r>
    </w:p>
    <w:p>
      <w:pPr>
        <w:pStyle w:val="BodyText"/>
      </w:pPr>
      <w:r>
        <w:t xml:space="preserve">Phone: +86-20-3882-1100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Teacher Secondary – Mathematics Instruction (Grades 7–9), including curriculum design, classroom delivery, and assessment preparation for the China Guangzhou municipal secondary school network</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¥ 18,500.00</w:t>
            </w:r>
          </w:p>
        </w:tc>
        <w:tc>
          <w:tcPr/>
          <w:p>
            <w:pPr>
              <w:pStyle w:val="Compact"/>
              <w:jc w:val="left"/>
            </w:pPr>
            <w:r>
              <w:t xml:space="preserve">¥ 55,500.00</w:t>
            </w:r>
          </w:p>
        </w:tc>
      </w:tr>
      <w:tr>
        <w:tc>
          <w:tcPr/>
          <w:p>
            <w:pPr>
              <w:pStyle w:val="Compact"/>
              <w:jc w:val="left"/>
            </w:pPr>
            <w:r>
              <w:t xml:space="preserve">02</w:t>
            </w:r>
          </w:p>
        </w:tc>
        <w:tc>
          <w:tcPr/>
          <w:p>
            <w:pPr>
              <w:pStyle w:val="Compact"/>
              <w:jc w:val="left"/>
            </w:pPr>
            <w:r>
              <w:t xml:space="preserve">Teacher Secondary – English Language &amp; Communication Skills, covering oral proficiency, written composition, and international examination preparation aligned with China Guangzhou educational standards</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¥ 16,800.00</w:t>
            </w:r>
          </w:p>
        </w:tc>
        <w:tc>
          <w:tcPr/>
          <w:p>
            <w:pPr>
              <w:pStyle w:val="Compact"/>
              <w:jc w:val="left"/>
            </w:pPr>
            <w:r>
              <w:t xml:space="preserve">¥ 50,400.00</w:t>
            </w:r>
          </w:p>
        </w:tc>
      </w:tr>
      <w:tr>
        <w:tc>
          <w:tcPr/>
          <w:p>
            <w:pPr>
              <w:pStyle w:val="Compact"/>
              <w:jc w:val="left"/>
            </w:pPr>
            <w:r>
              <w:t xml:space="preserve">03</w:t>
            </w:r>
          </w:p>
        </w:tc>
        <w:tc>
          <w:tcPr/>
          <w:p>
            <w:pPr>
              <w:pStyle w:val="Compact"/>
              <w:jc w:val="left"/>
            </w:pPr>
            <w:r>
              <w:t xml:space="preserve">Teacher Secondary – Physics &amp; Laboratory Supervision, including hands-on experimental sessions, safety compliance training, and equipment maintenance oversight in China Guangzhou secondary laboratories</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¥ 17,200.00</w:t>
            </w:r>
          </w:p>
        </w:tc>
        <w:tc>
          <w:tcPr/>
          <w:p>
            <w:pPr>
              <w:pStyle w:val="Compact"/>
              <w:jc w:val="left"/>
            </w:pPr>
            <w:r>
              <w:t xml:space="preserve">¥ 51,600.00</w:t>
            </w:r>
          </w:p>
        </w:tc>
      </w:tr>
      <w:tr>
        <w:tc>
          <w:tcPr/>
          <w:p>
            <w:pPr>
              <w:pStyle w:val="Compact"/>
              <w:jc w:val="left"/>
            </w:pPr>
            <w:r>
              <w:t xml:space="preserve">04</w:t>
            </w:r>
          </w:p>
        </w:tc>
        <w:tc>
          <w:tcPr/>
          <w:p>
            <w:pPr>
              <w:pStyle w:val="Compact"/>
              <w:jc w:val="left"/>
            </w:pPr>
            <w:r>
              <w:t xml:space="preserve">Teacher Secondary – Professional Development &amp; Pedagogical Training Workshop, a 40-hour intensive program for newly appointed Teacher Secondary staff in the China Guangzhou district, covering modern instructional methodologies</w:t>
            </w:r>
          </w:p>
        </w:tc>
        <w:tc>
          <w:tcPr/>
          <w:p>
            <w:pPr>
              <w:pStyle w:val="Compact"/>
              <w:jc w:val="left"/>
            </w:pPr>
            <w:r>
              <w:t xml:space="preserve">May 2025</w:t>
            </w:r>
          </w:p>
        </w:tc>
        <w:tc>
          <w:tcPr/>
          <w:p>
            <w:pPr>
              <w:pStyle w:val="Compact"/>
              <w:jc w:val="left"/>
            </w:pPr>
            <w:r>
              <w:t xml:space="preserve">1 session</w:t>
            </w:r>
          </w:p>
        </w:tc>
        <w:tc>
          <w:tcPr/>
          <w:p>
            <w:pPr>
              <w:pStyle w:val="Compact"/>
              <w:jc w:val="left"/>
            </w:pPr>
            <w:r>
              <w:t xml:space="preserve">¥ 28,000.00</w:t>
            </w:r>
          </w:p>
        </w:tc>
        <w:tc>
          <w:tcPr/>
          <w:p>
            <w:pPr>
              <w:pStyle w:val="Compact"/>
              <w:jc w:val="left"/>
            </w:pPr>
            <w:r>
              <w:t xml:space="preserve">¥ 28,000.00</w:t>
            </w:r>
          </w:p>
        </w:tc>
      </w:tr>
      <w:tr>
        <w:tc>
          <w:tcPr/>
          <w:p>
            <w:pPr>
              <w:pStyle w:val="Compact"/>
              <w:jc w:val="left"/>
            </w:pPr>
            <w:r>
              <w:t xml:space="preserve">05</w:t>
            </w:r>
          </w:p>
        </w:tc>
        <w:tc>
          <w:tcPr/>
          <w:p>
            <w:pPr>
              <w:pStyle w:val="Compact"/>
              <w:jc w:val="left"/>
            </w:pPr>
            <w:r>
              <w:t xml:space="preserve">Teacher Secondary – Extracurricular Program Coordination (Science Club, Debate Society, and Cultural Exchange), supporting student engagement initiatives mandated by the China Guangzhou Education Bureau for the 2024–2025 academic year</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¥ 9,500.00</w:t>
            </w:r>
          </w:p>
        </w:tc>
        <w:tc>
          <w:tcPr/>
          <w:p>
            <w:pPr>
              <w:pStyle w:val="Compact"/>
              <w:jc w:val="left"/>
            </w:pPr>
            <w:r>
              <w:t xml:space="preserve">¥ 28,500.00</w:t>
            </w:r>
          </w:p>
        </w:tc>
      </w:tr>
      <w:tr>
        <w:tc>
          <w:tcPr/>
          <w:p>
            <w:pPr>
              <w:pStyle w:val="Compact"/>
              <w:jc w:val="left"/>
            </w:pPr>
            <w:r>
              <w:t xml:space="preserve">06</w:t>
            </w:r>
          </w:p>
        </w:tc>
        <w:tc>
          <w:tcPr/>
          <w:p>
            <w:pPr>
              <w:pStyle w:val="Compact"/>
              <w:jc w:val="left"/>
            </w:pPr>
            <w:r>
              <w:t xml:space="preserve">Teacher Secondary – Administrative &amp; Reporting Services, including monthly progress reports, parent-teacher conference facilitation, and compliance documentation filed with the China Guangzhou Municipal Education Authority</w:t>
            </w:r>
          </w:p>
        </w:tc>
        <w:tc>
          <w:tcPr/>
          <w:p>
            <w:pPr>
              <w:pStyle w:val="Compact"/>
              <w:jc w:val="left"/>
            </w:pPr>
            <w:r>
              <w:t xml:space="preserve">Apr – Jun 2025</w:t>
            </w:r>
          </w:p>
        </w:tc>
        <w:tc>
          <w:tcPr/>
          <w:p>
            <w:pPr>
              <w:pStyle w:val="Compact"/>
              <w:jc w:val="left"/>
            </w:pPr>
            <w:r>
              <w:t xml:space="preserve">3 months</w:t>
            </w:r>
          </w:p>
        </w:tc>
        <w:tc>
          <w:tcPr/>
          <w:p>
            <w:pPr>
              <w:pStyle w:val="Compact"/>
              <w:jc w:val="left"/>
            </w:pPr>
            <w:r>
              <w:t xml:space="preserve">¥ 6,200.00</w:t>
            </w:r>
          </w:p>
        </w:tc>
        <w:tc>
          <w:tcPr/>
          <w:p>
            <w:pPr>
              <w:pStyle w:val="Compact"/>
              <w:jc w:val="left"/>
            </w:pPr>
            <w:r>
              <w:t xml:space="preserve">¥ 18,600.00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¥ 232,600.00</w:t>
            </w:r>
          </w:p>
        </w:tc>
      </w:tr>
      <w:tr>
        <w:tc>
          <w:tcPr/>
          <w:p>
            <w:pPr>
              <w:pStyle w:val="Compact"/>
              <w:jc w:val="left"/>
            </w:pPr>
            <w:r>
              <w:t xml:space="preserve">VAT (Value Added Tax) @ 6%</w:t>
            </w:r>
          </w:p>
        </w:tc>
        <w:tc>
          <w:tcPr/>
          <w:p>
            <w:pPr>
              <w:pStyle w:val="Compact"/>
              <w:jc w:val="right"/>
            </w:pPr>
            <w:r>
              <w:t xml:space="preserve">¥ 13,956.00</w:t>
            </w:r>
          </w:p>
        </w:tc>
      </w:tr>
      <w:tr>
        <w:tc>
          <w:tcPr/>
          <w:p>
            <w:pPr>
              <w:pStyle w:val="Compact"/>
              <w:jc w:val="left"/>
            </w:pPr>
            <w:r>
              <w:t xml:space="preserve">Local Education Surcharge @ 2%</w:t>
            </w:r>
          </w:p>
        </w:tc>
        <w:tc>
          <w:tcPr/>
          <w:p>
            <w:pPr>
              <w:pStyle w:val="Compact"/>
              <w:jc w:val="right"/>
            </w:pPr>
            <w:r>
              <w:t xml:space="preserve">¥ 4,652.00</w:t>
            </w:r>
          </w:p>
        </w:tc>
      </w:tr>
      <w:tr>
        <w:tc>
          <w:tcPr/>
          <w:p>
            <w:pPr>
              <w:pStyle w:val="Compact"/>
              <w:jc w:val="left"/>
            </w:pPr>
            <w:r>
              <w:t xml:space="preserve">City Construction Tax @ 7%</w:t>
            </w:r>
          </w:p>
        </w:tc>
        <w:tc>
          <w:tcPr/>
          <w:p>
            <w:pPr>
              <w:pStyle w:val="Compact"/>
              <w:jc w:val="right"/>
            </w:pPr>
            <w:r>
              <w:t xml:space="preserve">¥ 976.92</w:t>
            </w:r>
          </w:p>
        </w:tc>
      </w:tr>
      <w:tr>
        <w:tc>
          <w:tcPr/>
          <w:p>
            <w:pPr>
              <w:pStyle w:val="Compact"/>
              <w:jc w:val="left"/>
            </w:pPr>
            <w:r>
              <w:rPr>
                <w:bCs/>
                <w:b/>
              </w:rPr>
              <w:t xml:space="preserve">Grand Total (CNY)</w:t>
            </w:r>
          </w:p>
        </w:tc>
        <w:tc>
          <w:tcPr/>
          <w:p>
            <w:pPr>
              <w:pStyle w:val="Compact"/>
              <w:jc w:val="right"/>
            </w:pPr>
            <w:r>
              <w:rPr>
                <w:bCs/>
                <w:b/>
              </w:rPr>
              <w:t xml:space="preserve">¥ 252,184.92</w:t>
            </w:r>
          </w:p>
        </w:tc>
      </w:tr>
      <w:tr>
        <w:tc>
          <w:tcPr>
            <w:gridSpan w:val="2"/>
          </w:tcPr>
          <w:p>
            <w:pPr>
              <w:pStyle w:val="Compact"/>
              <w:jc w:val="left"/>
            </w:pPr>
            <w:r>
              <w:t xml:space="preserve">Amount in words: Two Hundred Fifty-Two Thousand One Hundred Eighty-Four Yuan and Ninety-Two Fen</w:t>
            </w:r>
          </w:p>
        </w:tc>
      </w:tr>
    </w:tbl>
    <w:bookmarkStart w:id="23" w:name="payment-instructions-china-guangzhou"/>
    <w:p>
      <w:pPr>
        <w:pStyle w:val="Heading4"/>
      </w:pPr>
      <w:r>
        <w:t xml:space="preserve">Payment Instructions – China Guangzhou</w:t>
      </w:r>
    </w:p>
    <w:p>
      <w:pPr>
        <w:pStyle w:val="FirstParagraph"/>
      </w:pPr>
      <w:r>
        <w:rPr>
          <w:bCs/>
          <w:b/>
        </w:rPr>
        <w:t xml:space="preserve">Bank Name:</w:t>
      </w:r>
      <w:r>
        <w:t xml:space="preserve"> </w:t>
      </w:r>
      <w:r>
        <w:t xml:space="preserve">Industrial and Commercial Bank of China (ICBC), Guangzhou Tianhe Branch</w:t>
      </w:r>
    </w:p>
    <w:p>
      <w:pPr>
        <w:pStyle w:val="BodyText"/>
      </w:pPr>
      <w:r>
        <w:rPr>
          <w:bCs/>
          <w:b/>
        </w:rPr>
        <w:t xml:space="preserve">Account Name:</w:t>
      </w:r>
      <w:r>
        <w:t xml:space="preserve"> </w:t>
      </w:r>
      <w:r>
        <w:t xml:space="preserve">Guangzhou Secondary Education Academy Co., Ltd.</w:t>
      </w:r>
    </w:p>
    <w:p>
      <w:pPr>
        <w:pStyle w:val="BodyText"/>
      </w:pPr>
      <w:r>
        <w:rPr>
          <w:bCs/>
          <w:b/>
        </w:rPr>
        <w:t xml:space="preserve">Account Number:</w:t>
      </w:r>
      <w:r>
        <w:t xml:space="preserve"> </w:t>
      </w:r>
      <w:r>
        <w:t xml:space="preserve">4402 2600 9900 1234 567</w:t>
      </w:r>
    </w:p>
    <w:p>
      <w:pPr>
        <w:pStyle w:val="BodyText"/>
      </w:pPr>
      <w:r>
        <w:rPr>
          <w:bCs/>
          <w:b/>
        </w:rPr>
        <w:t xml:space="preserve">SWIFT Code:</w:t>
      </w:r>
      <w:r>
        <w:t xml:space="preserve"> </w:t>
      </w:r>
      <w:r>
        <w:t xml:space="preserve">ICBKCNBJGZG</w:t>
      </w:r>
    </w:p>
    <w:p>
      <w:pPr>
        <w:pStyle w:val="BodyText"/>
      </w:pPr>
      <w:r>
        <w:rPr>
          <w:bCs/>
          <w:b/>
        </w:rPr>
        <w:t xml:space="preserve">Reference:</w:t>
      </w:r>
      <w:r>
        <w:t xml:space="preserve"> </w:t>
      </w:r>
      <w:r>
        <w:t xml:space="preserve">Please cite Invoice No. GZ-TS-2025-04872 and the Teacher Secondary program code in all remittances.</w:t>
      </w:r>
    </w:p>
    <w:p>
      <w:pPr>
        <w:pStyle w:val="BodyText"/>
      </w:pPr>
      <w:r>
        <w:rPr>
          <w:iCs/>
          <w:i/>
        </w:rPr>
        <w:t xml:space="preserve">Payments must be received within 15 calendar days of the issue date. Late payments are subject to a 0.05% daily penalty as stipulated under the China Guangzhou municipal procurement regulations.</w:t>
      </w:r>
    </w:p>
    <w:bookmarkEnd w:id="23"/>
    <w:bookmarkStart w:id="24" w:name="important-notes-terms-of-this-invoice"/>
    <w:p>
      <w:pPr>
        <w:pStyle w:val="Heading4"/>
      </w:pPr>
      <w:r>
        <w:t xml:space="preserve">Important Notes &amp; Terms of This Invoice</w:t>
      </w:r>
    </w:p>
    <w:p>
      <w:pPr>
        <w:pStyle w:val="FirstParagraph"/>
      </w:pPr>
      <w:r>
        <w:t xml:space="preserve">1. This Invoice covers all Teacher Secondary services rendered during the second quarter of the 2024–2025 academic year within the administrative jurisdiction of China Guangzhou. No additional charges shall apply unless a written amendment is executed by both parties.</w:t>
      </w:r>
    </w:p>
    <w:p>
      <w:pPr>
        <w:pStyle w:val="BodyText"/>
      </w:pPr>
      <w:r>
        <w:t xml:space="preserve">2. All Teacher Secondary personnel listed under this Invoice hold valid teaching licenses issued by the Guangdong Provincial Department of Education and are registered with the China Guangzhou Teacher Secondary Qualification Registry.</w:t>
      </w:r>
    </w:p>
    <w:p>
      <w:pPr>
        <w:pStyle w:val="BodyText"/>
      </w:pPr>
      <w:r>
        <w:t xml:space="preserve">3. The China Guangzhou Municipal Bureau of Education reserves the right to conduct a quality audit of the Teacher Secondary programs described herein. Any discrepancies identified during the audit period shall be resolved within 30 business days of the audit report issuance.</w:t>
      </w:r>
    </w:p>
    <w:p>
      <w:pPr>
        <w:pStyle w:val="BodyText"/>
      </w:pPr>
      <w:r>
        <w:t xml:space="preserve">4. This Invoice is valid for a period of 90 days from the issue date. Beyond this period, the China Guangzhou Education Bureau must request a reissued Invoice reflecting any applicable tax rate adjustments.</w:t>
      </w:r>
    </w:p>
    <w:p>
      <w:pPr>
        <w:pStyle w:val="BodyText"/>
      </w:pPr>
      <w:r>
        <w:t xml:space="preserve">5. All Teacher Secondary instructional materials, digital resources, and laboratory consumables referenced in line items 01 through 03 are included in the stated amounts and do not require separate procurement by the client.</w:t>
      </w:r>
    </w:p>
    <w:p>
      <w:pPr>
        <w:pStyle w:val="BodyText"/>
      </w:pPr>
      <w:r>
        <w:t xml:space="preserve">6. In the event of a dispute regarding this Invoice, both parties agree to submit the matter to the Guangzhou Arbitration Commission in China Guangzhou for binding resolution under the applicable laws of the People's Republic of China.</w:t>
      </w:r>
    </w:p>
    <w:bookmarkEnd w:id="24"/>
    <w:p>
      <w:pPr>
        <w:pStyle w:val="BodyText"/>
      </w:pPr>
      <w:r>
        <w:rPr>
          <w:bCs/>
          <w:b/>
        </w:rPr>
        <w:t xml:space="preserve">Authorized Signatory (Provider)</w:t>
      </w:r>
    </w:p>
    <w:p>
      <w:pPr>
        <w:pStyle w:val="BodyText"/>
      </w:pPr>
      <w:r>
        <w:t xml:space="preserve">Ms. Lin Xiaofeng</w:t>
      </w:r>
    </w:p>
    <w:p>
      <w:pPr>
        <w:pStyle w:val="BodyText"/>
      </w:pPr>
      <w:r>
        <w:t xml:space="preserve">Director, Teacher Secondary Programs</w:t>
      </w:r>
    </w:p>
    <w:p>
      <w:pPr>
        <w:pStyle w:val="BodyText"/>
      </w:pPr>
      <w:r>
        <w:t xml:space="preserve">[ Company Seal – Guangzhou Secondary Education Academy ]</w:t>
      </w:r>
    </w:p>
    <w:p>
      <w:pPr>
        <w:pStyle w:val="BodyText"/>
      </w:pPr>
      <w:r>
        <w:rPr>
          <w:bCs/>
          <w:b/>
        </w:rPr>
        <w:t xml:space="preserve">Received &amp; Approved By (Client)</w:t>
      </w:r>
    </w:p>
    <w:p>
      <w:pPr>
        <w:pStyle w:val="BodyText"/>
      </w:pPr>
      <w:r>
        <w:t xml:space="preserve">Mr. Zhang Wei</w:t>
      </w:r>
    </w:p>
    <w:p>
      <w:pPr>
        <w:pStyle w:val="BodyText"/>
      </w:pPr>
      <w:r>
        <w:t xml:space="preserve">Procurement Officer, China Guangzhou Education Bureau</w:t>
      </w:r>
    </w:p>
    <w:p>
      <w:pPr>
        <w:pStyle w:val="BodyText"/>
      </w:pPr>
      <w:r>
        <w:t xml:space="preserve">[ Official Seal – Guangzhou Municipal Bureau of Education ]</w:t>
      </w:r>
    </w:p>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Guangzhou Secondary Education Academy Co., Ltd. | Tianhe District, Guangzhou, Guangdong, China | Tax Registration: 91440101MA5C8X7K2P</w:t>
      </w:r>
    </w:p>
    <w:p>
      <w:pPr>
        <w:pStyle w:val="BodyText"/>
      </w:pPr>
      <w:r>
        <w:t xml:space="preserve">For inquiries regarding this Invoice or Teacher Secondary service delivery in China Guangzhou, please contact the Finance Department at finance@gz-sea-education.cn or +86-20-8765-4321.</w:t>
      </w:r>
    </w:p>
    <w:p>
      <w:pPr>
        <w:pStyle w:val="BodyText"/>
      </w:pPr>
      <w:r>
        <w:t xml:space="preserve">© 2025 Guangzhou Secondary Education Academy Co., Ltd. All rights reserved. Invoice GZ-TS-2025-04872.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China Guangzhou</dc:title>
  <dc:creator/>
  <dc:language>en</dc:language>
  <cp:keywords/>
  <dcterms:created xsi:type="dcterms:W3CDTF">2026-10-10T05:50:23Z</dcterms:created>
  <dcterms:modified xsi:type="dcterms:W3CDTF">2026-10-10T05:50:23Z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