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Teacher</w:t>
      </w:r>
      <w:r>
        <w:t xml:space="preserve"> </w:t>
      </w:r>
      <w:r>
        <w:t xml:space="preserve">Secondary</w:t>
      </w:r>
      <w:r>
        <w:t xml:space="preserve"> </w:t>
      </w:r>
      <w:r>
        <w:t xml:space="preserve">Services</w:t>
      </w:r>
      <w:r>
        <w:t xml:space="preserve"> </w:t>
      </w:r>
      <w:r>
        <w:t xml:space="preserve">-</w:t>
      </w:r>
      <w:r>
        <w:t xml:space="preserve"> </w:t>
      </w:r>
      <w:r>
        <w:t xml:space="preserve">Colombia</w:t>
      </w:r>
      <w:r>
        <w:t xml:space="preserve"> </w:t>
      </w:r>
      <w:r>
        <w:t xml:space="preserve">Bogotá</w:t>
      </w:r>
    </w:p>
    <w:p>
      <w:pPr>
        <w:pStyle w:val="FirstParagraph"/>
      </w:pPr>
      <w:r>
        <w:t xml:space="preserve">INVOICE</w:t>
      </w:r>
    </w:p>
    <w:p>
      <w:pPr>
        <w:pStyle w:val="BodyText"/>
      </w:pPr>
      <w:r>
        <w:t xml:space="preserve">Teacher Secondary Educational Services</w:t>
      </w:r>
    </w:p>
    <w:p>
      <w:pPr>
        <w:pStyle w:val="BodyText"/>
      </w:pPr>
      <w:r>
        <w:t xml:space="preserve">Colombia Bogotá – Official Billing Document</w:t>
      </w:r>
    </w:p>
    <w:bookmarkStart w:id="20" w:name="invoice-details"/>
    <w:p>
      <w:pPr>
        <w:pStyle w:val="Heading3"/>
      </w:pPr>
      <w:r>
        <w:t xml:space="preserve">Invoice Details</w:t>
      </w:r>
    </w:p>
    <w:p>
      <w:pPr>
        <w:pStyle w:val="FirstParagraph"/>
      </w:pPr>
      <w:r>
        <w:rPr>
          <w:bCs/>
          <w:b/>
        </w:rPr>
        <w:t xml:space="preserve">Invoice No.:</w:t>
      </w:r>
      <w:r>
        <w:t xml:space="preserve"> </w:t>
      </w:r>
      <w:r>
        <w:t xml:space="preserve">INV-BOG-2025-0487</w:t>
      </w:r>
    </w:p>
    <w:p>
      <w:pPr>
        <w:pStyle w:val="BodyText"/>
      </w:pPr>
      <w:r>
        <w:rPr>
          <w:bCs/>
          <w:b/>
        </w:rPr>
        <w:t xml:space="preserve">Issue Date:</w:t>
      </w:r>
      <w:r>
        <w:t xml:space="preserve"> </w:t>
      </w:r>
      <w:r>
        <w:t xml:space="preserve">June 15, 2025</w:t>
      </w:r>
    </w:p>
    <w:p>
      <w:pPr>
        <w:pStyle w:val="BodyText"/>
      </w:pPr>
      <w:r>
        <w:rPr>
          <w:bCs/>
          <w:b/>
        </w:rPr>
        <w:t xml:space="preserve">Due Date:</w:t>
      </w:r>
      <w:r>
        <w:t xml:space="preserve"> </w:t>
      </w:r>
      <w:r>
        <w:t xml:space="preserve">July 15, 2025</w:t>
      </w:r>
    </w:p>
    <w:p>
      <w:pPr>
        <w:pStyle w:val="BodyText"/>
      </w:pPr>
      <w:r>
        <w:rPr>
          <w:bCs/>
          <w:b/>
        </w:rPr>
        <w:t xml:space="preserve">Payment Terms:</w:t>
      </w:r>
      <w:r>
        <w:t xml:space="preserve"> </w:t>
      </w:r>
      <w:r>
        <w:t xml:space="preserve">Net 30 Days</w:t>
      </w:r>
    </w:p>
    <w:p>
      <w:pPr>
        <w:pStyle w:val="BodyText"/>
      </w:pPr>
      <w:r>
        <w:t xml:space="preserve">PENDING PAYMENT</w:t>
      </w:r>
    </w:p>
    <w:bookmarkEnd w:id="20"/>
    <w:bookmarkStart w:id="21" w:name="service-provider-teacher-secondary"/>
    <w:p>
      <w:pPr>
        <w:pStyle w:val="Heading4"/>
      </w:pPr>
      <w:r>
        <w:t xml:space="preserve">Service Provider (Teacher Secondary)</w:t>
      </w:r>
    </w:p>
    <w:p>
      <w:pPr>
        <w:pStyle w:val="FirstParagraph"/>
      </w:pPr>
      <w:r>
        <w:rPr>
          <w:bCs/>
          <w:b/>
        </w:rPr>
        <w:t xml:space="preserve">Name:</w:t>
      </w:r>
      <w:r>
        <w:t xml:space="preserve"> </w:t>
      </w:r>
      <w:r>
        <w:t xml:space="preserve">María Alejandra Restrepo Gómez</w:t>
      </w:r>
    </w:p>
    <w:p>
      <w:pPr>
        <w:pStyle w:val="BodyText"/>
      </w:pPr>
      <w:r>
        <w:rPr>
          <w:bCs/>
          <w:b/>
        </w:rPr>
        <w:t xml:space="preserve">Role:</w:t>
      </w:r>
      <w:r>
        <w:t xml:space="preserve"> </w:t>
      </w:r>
      <w:r>
        <w:t xml:space="preserve">Teacher Secondary – Mathematics &amp; Natural Sciences</w:t>
      </w:r>
    </w:p>
    <w:p>
      <w:pPr>
        <w:pStyle w:val="BodyText"/>
      </w:pPr>
      <w:r>
        <w:rPr>
          <w:bCs/>
          <w:b/>
        </w:rPr>
        <w:t xml:space="preserve">NIT:</w:t>
      </w:r>
      <w:r>
        <w:t xml:space="preserve"> </w:t>
      </w:r>
      <w:r>
        <w:t xml:space="preserve">1.045.782.361-8</w:t>
      </w:r>
    </w:p>
    <w:p>
      <w:pPr>
        <w:pStyle w:val="BodyText"/>
      </w:pPr>
      <w:r>
        <w:rPr>
          <w:bCs/>
          <w:b/>
        </w:rPr>
        <w:t xml:space="preserve">Address:</w:t>
      </w:r>
      <w:r>
        <w:t xml:space="preserve"> </w:t>
      </w:r>
      <w:r>
        <w:t xml:space="preserve">Calle 45 # 23-18, Barrio La Candelaria</w:t>
      </w:r>
    </w:p>
    <w:p>
      <w:pPr>
        <w:pStyle w:val="BodyText"/>
      </w:pPr>
      <w:r>
        <w:rPr>
          <w:bCs/>
          <w:b/>
        </w:rPr>
        <w:t xml:space="preserve">City:</w:t>
      </w:r>
      <w:r>
        <w:t xml:space="preserve"> </w:t>
      </w:r>
      <w:r>
        <w:t xml:space="preserve">Colombia Bogotá, Cundinamarca</w:t>
      </w:r>
    </w:p>
    <w:p>
      <w:pPr>
        <w:pStyle w:val="BodyText"/>
      </w:pPr>
      <w:r>
        <w:rPr>
          <w:bCs/>
          <w:b/>
        </w:rPr>
        <w:t xml:space="preserve">Email:</w:t>
      </w:r>
      <w:r>
        <w:t xml:space="preserve"> </w:t>
      </w:r>
      <w:r>
        <w:t xml:space="preserve">marestrepo@educacionbogota.edu.co</w:t>
      </w:r>
    </w:p>
    <w:p>
      <w:pPr>
        <w:pStyle w:val="BodyText"/>
      </w:pPr>
      <w:r>
        <w:rPr>
          <w:bCs/>
          <w:b/>
        </w:rPr>
        <w:t xml:space="preserve">Phone:</w:t>
      </w:r>
      <w:r>
        <w:t xml:space="preserve"> </w:t>
      </w:r>
      <w:r>
        <w:t xml:space="preserve">+57 (601) 555-7842</w:t>
      </w:r>
    </w:p>
    <w:bookmarkEnd w:id="21"/>
    <w:bookmarkStart w:id="22" w:name="bill-to-institution"/>
    <w:p>
      <w:pPr>
        <w:pStyle w:val="Heading4"/>
      </w:pPr>
      <w:r>
        <w:t xml:space="preserve">Bill To (Institution)</w:t>
      </w:r>
    </w:p>
    <w:p>
      <w:pPr>
        <w:pStyle w:val="FirstParagraph"/>
      </w:pPr>
      <w:r>
        <w:rPr>
          <w:bCs/>
          <w:b/>
        </w:rPr>
        <w:t xml:space="preserve">Name:</w:t>
      </w:r>
      <w:r>
        <w:t xml:space="preserve"> </w:t>
      </w:r>
      <w:r>
        <w:t xml:space="preserve">Colegio Distrital Simón Bolívar</w:t>
      </w:r>
    </w:p>
    <w:p>
      <w:pPr>
        <w:pStyle w:val="BodyText"/>
      </w:pPr>
      <w:r>
        <w:rPr>
          <w:bCs/>
          <w:b/>
        </w:rPr>
        <w:t xml:space="preserve">NIT:</w:t>
      </w:r>
      <w:r>
        <w:t xml:space="preserve"> </w:t>
      </w:r>
      <w:r>
        <w:t xml:space="preserve">890.123.456-1</w:t>
      </w:r>
    </w:p>
    <w:p>
      <w:pPr>
        <w:pStyle w:val="BodyText"/>
      </w:pPr>
      <w:r>
        <w:rPr>
          <w:bCs/>
          <w:b/>
        </w:rPr>
        <w:t xml:space="preserve">Address:</w:t>
      </w:r>
      <w:r>
        <w:t xml:space="preserve"> </w:t>
      </w:r>
      <w:r>
        <w:t xml:space="preserve">Av. 19 # 56-30, Barrio San Cristóbal</w:t>
      </w:r>
    </w:p>
    <w:p>
      <w:pPr>
        <w:pStyle w:val="BodyText"/>
      </w:pPr>
      <w:r>
        <w:rPr>
          <w:bCs/>
          <w:b/>
        </w:rPr>
        <w:t xml:space="preserve">City:</w:t>
      </w:r>
      <w:r>
        <w:t xml:space="preserve"> </w:t>
      </w:r>
      <w:r>
        <w:t xml:space="preserve">Colombia Bogotá, Cundinamarca</w:t>
      </w:r>
    </w:p>
    <w:p>
      <w:pPr>
        <w:pStyle w:val="BodyText"/>
      </w:pPr>
      <w:r>
        <w:rPr>
          <w:bCs/>
          <w:b/>
        </w:rPr>
        <w:t xml:space="preserve">Contact:</w:t>
      </w:r>
      <w:r>
        <w:t xml:space="preserve"> </w:t>
      </w:r>
      <w:r>
        <w:t xml:space="preserve">Lic. Carlos Andrés Peña (Director)</w:t>
      </w:r>
    </w:p>
    <w:p>
      <w:pPr>
        <w:pStyle w:val="BodyText"/>
      </w:pPr>
      <w:r>
        <w:rPr>
          <w:bCs/>
          <w:b/>
        </w:rPr>
        <w:t xml:space="preserve">Email:</w:t>
      </w:r>
      <w:r>
        <w:t xml:space="preserve"> </w:t>
      </w:r>
      <w:r>
        <w:t xml:space="preserve">direccion@colegiosimonbolivar.edu.co</w:t>
      </w:r>
    </w:p>
    <w:p>
      <w:pPr>
        <w:pStyle w:val="BodyText"/>
      </w:pPr>
      <w:r>
        <w:rPr>
          <w:bCs/>
          <w:b/>
        </w:rPr>
        <w:t xml:space="preserve">Phone:</w:t>
      </w:r>
      <w:r>
        <w:t xml:space="preserve"> </w:t>
      </w:r>
      <w:r>
        <w:t xml:space="preserve">+57 (601) 555-3321</w:t>
      </w:r>
    </w:p>
    <w:bookmarkEnd w:id="22"/>
    <w:bookmarkStart w:id="25" w:name="Xf1c5c04e1cb1a5454eb235bc327dce51e461443"/>
    <w:p>
      <w:pPr>
        <w:pStyle w:val="Heading3"/>
      </w:pPr>
      <w:r>
        <w:t xml:space="preserve">Description of Teacher Secondary Services Rendered in Colombia Bogotá</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Service Description</w:t>
            </w:r>
          </w:p>
        </w:tc>
        <w:tc>
          <w:tcPr/>
          <w:p>
            <w:pPr>
              <w:pStyle w:val="Compact"/>
              <w:jc w:val="left"/>
            </w:pPr>
            <w:r>
              <w:t xml:space="preserve">Period</w:t>
            </w:r>
          </w:p>
        </w:tc>
        <w:tc>
          <w:tcPr/>
          <w:p>
            <w:pPr>
              <w:pStyle w:val="Compact"/>
              <w:jc w:val="left"/>
            </w:pPr>
            <w:r>
              <w:t xml:space="preserve">Qty</w:t>
            </w:r>
          </w:p>
        </w:tc>
        <w:tc>
          <w:tcPr/>
          <w:p>
            <w:pPr>
              <w:pStyle w:val="Compact"/>
              <w:jc w:val="left"/>
            </w:pPr>
            <w:r>
              <w:t xml:space="preserve">Unit Price (COP)</w:t>
            </w:r>
          </w:p>
        </w:tc>
        <w:tc>
          <w:tcPr/>
          <w:p>
            <w:pPr>
              <w:pStyle w:val="Compact"/>
              <w:jc w:val="left"/>
            </w:pPr>
            <w:r>
              <w:t xml:space="preserve">Amount (COP)</w:t>
            </w:r>
          </w:p>
        </w:tc>
      </w:tr>
      <w:tr>
        <w:tc>
          <w:tcPr/>
          <w:p>
            <w:pPr>
              <w:pStyle w:val="Compact"/>
              <w:jc w:val="left"/>
            </w:pPr>
            <w:r>
              <w:t xml:space="preserve">01</w:t>
            </w:r>
          </w:p>
        </w:tc>
        <w:tc>
          <w:tcPr/>
          <w:p>
            <w:pPr>
              <w:pStyle w:val="Compact"/>
              <w:jc w:val="left"/>
            </w:pPr>
            <w:r>
              <w:t xml:space="preserve">Teacher Secondary – Regular classroom instruction in Mathematics (Grades 9–11), aligned with the Colombian Ministry of Education curriculum standards for secondary education in Colombia Bogotá.</w:t>
            </w:r>
          </w:p>
        </w:tc>
        <w:tc>
          <w:tcPr/>
          <w:p>
            <w:pPr>
              <w:pStyle w:val="Compact"/>
              <w:jc w:val="left"/>
            </w:pPr>
            <w:r>
              <w:t xml:space="preserve">May 2025</w:t>
            </w:r>
          </w:p>
        </w:tc>
        <w:tc>
          <w:tcPr/>
          <w:p>
            <w:pPr>
              <w:pStyle w:val="Compact"/>
              <w:jc w:val="left"/>
            </w:pPr>
            <w:r>
              <w:t xml:space="preserve">40 hrs</w:t>
            </w:r>
          </w:p>
        </w:tc>
        <w:tc>
          <w:tcPr/>
          <w:p>
            <w:pPr>
              <w:pStyle w:val="Compact"/>
              <w:jc w:val="left"/>
            </w:pPr>
            <w:r>
              <w:t xml:space="preserve">85,000</w:t>
            </w:r>
          </w:p>
        </w:tc>
        <w:tc>
          <w:tcPr/>
          <w:p>
            <w:pPr>
              <w:pStyle w:val="Compact"/>
              <w:jc w:val="left"/>
            </w:pPr>
            <w:r>
              <w:t xml:space="preserve">3,400,000</w:t>
            </w:r>
          </w:p>
        </w:tc>
      </w:tr>
      <w:tr>
        <w:tc>
          <w:tcPr/>
          <w:p>
            <w:pPr>
              <w:pStyle w:val="Compact"/>
              <w:jc w:val="left"/>
            </w:pPr>
            <w:r>
              <w:t xml:space="preserve">02</w:t>
            </w:r>
          </w:p>
        </w:tc>
        <w:tc>
          <w:tcPr/>
          <w:p>
            <w:pPr>
              <w:pStyle w:val="Compact"/>
              <w:jc w:val="left"/>
            </w:pPr>
            <w:r>
              <w:t xml:space="preserve">Teacher Secondary – Regular classroom instruction in Natural Sciences (Grades 9–11), including laboratory supervision and practical experiments conducted at the institution in Colombia Bogotá.</w:t>
            </w:r>
          </w:p>
        </w:tc>
        <w:tc>
          <w:tcPr/>
          <w:p>
            <w:pPr>
              <w:pStyle w:val="Compact"/>
              <w:jc w:val="left"/>
            </w:pPr>
            <w:r>
              <w:t xml:space="preserve">May 2025</w:t>
            </w:r>
          </w:p>
        </w:tc>
        <w:tc>
          <w:tcPr/>
          <w:p>
            <w:pPr>
              <w:pStyle w:val="Compact"/>
              <w:jc w:val="left"/>
            </w:pPr>
            <w:r>
              <w:t xml:space="preserve">32 hrs</w:t>
            </w:r>
          </w:p>
        </w:tc>
        <w:tc>
          <w:tcPr/>
          <w:p>
            <w:pPr>
              <w:pStyle w:val="Compact"/>
              <w:jc w:val="left"/>
            </w:pPr>
            <w:r>
              <w:t xml:space="preserve">85,000</w:t>
            </w:r>
          </w:p>
        </w:tc>
        <w:tc>
          <w:tcPr/>
          <w:p>
            <w:pPr>
              <w:pStyle w:val="Compact"/>
              <w:jc w:val="left"/>
            </w:pPr>
            <w:r>
              <w:t xml:space="preserve">2,720,000</w:t>
            </w:r>
          </w:p>
        </w:tc>
      </w:tr>
      <w:tr>
        <w:tc>
          <w:tcPr/>
          <w:p>
            <w:pPr>
              <w:pStyle w:val="Compact"/>
              <w:jc w:val="left"/>
            </w:pPr>
            <w:r>
              <w:t xml:space="preserve">03</w:t>
            </w:r>
          </w:p>
        </w:tc>
        <w:tc>
          <w:tcPr/>
          <w:p>
            <w:pPr>
              <w:pStyle w:val="Compact"/>
              <w:jc w:val="left"/>
            </w:pPr>
            <w:r>
              <w:t xml:space="preserve">Teacher Secondary – Preparation and administration of formative and summative assessments, including grading, feedback, and individualized academic follow-up for 180 enrolled students.</w:t>
            </w:r>
          </w:p>
        </w:tc>
        <w:tc>
          <w:tcPr/>
          <w:p>
            <w:pPr>
              <w:pStyle w:val="Compact"/>
              <w:jc w:val="left"/>
            </w:pPr>
            <w:r>
              <w:t xml:space="preserve">May 2025</w:t>
            </w:r>
          </w:p>
        </w:tc>
        <w:tc>
          <w:tcPr/>
          <w:p>
            <w:pPr>
              <w:pStyle w:val="Compact"/>
              <w:jc w:val="left"/>
            </w:pPr>
            <w:r>
              <w:t xml:space="preserve">1</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04</w:t>
            </w:r>
          </w:p>
        </w:tc>
        <w:tc>
          <w:tcPr/>
          <w:p>
            <w:pPr>
              <w:pStyle w:val="Compact"/>
              <w:jc w:val="left"/>
            </w:pPr>
            <w:r>
              <w:t xml:space="preserve">Teacher Secondary – Participation in institutional pedagogical planning meetings, curriculum review sessions, and interdepartmental coordination required by the Secretaría de Educación de Colombia Bogotá.</w:t>
            </w:r>
          </w:p>
        </w:tc>
        <w:tc>
          <w:tcPr/>
          <w:p>
            <w:pPr>
              <w:pStyle w:val="Compact"/>
              <w:jc w:val="left"/>
            </w:pPr>
            <w:r>
              <w:t xml:space="preserve">May 2025</w:t>
            </w:r>
          </w:p>
        </w:tc>
        <w:tc>
          <w:tcPr/>
          <w:p>
            <w:pPr>
              <w:pStyle w:val="Compact"/>
              <w:jc w:val="left"/>
            </w:pPr>
            <w:r>
              <w:t xml:space="preserve">8 hrs</w:t>
            </w:r>
          </w:p>
        </w:tc>
        <w:tc>
          <w:tcPr/>
          <w:p>
            <w:pPr>
              <w:pStyle w:val="Compact"/>
              <w:jc w:val="left"/>
            </w:pPr>
            <w:r>
              <w:t xml:space="preserve">95,000</w:t>
            </w:r>
          </w:p>
        </w:tc>
        <w:tc>
          <w:tcPr/>
          <w:p>
            <w:pPr>
              <w:pStyle w:val="Compact"/>
              <w:jc w:val="left"/>
            </w:pPr>
            <w:r>
              <w:t xml:space="preserve">760,000</w:t>
            </w:r>
          </w:p>
        </w:tc>
      </w:tr>
      <w:tr>
        <w:tc>
          <w:tcPr/>
          <w:p>
            <w:pPr>
              <w:pStyle w:val="Compact"/>
              <w:jc w:val="left"/>
            </w:pPr>
            <w:r>
              <w:t xml:space="preserve">05</w:t>
            </w:r>
          </w:p>
        </w:tc>
        <w:tc>
          <w:tcPr/>
          <w:p>
            <w:pPr>
              <w:pStyle w:val="Compact"/>
              <w:jc w:val="left"/>
            </w:pPr>
            <w:r>
              <w:t xml:space="preserve">Teacher Secondary – Supervision and mentoring of two pre-service education interns (practicantes) as part of the university partnership program active in Colombia Bogotá.</w:t>
            </w:r>
          </w:p>
        </w:tc>
        <w:tc>
          <w:tcPr/>
          <w:p>
            <w:pPr>
              <w:pStyle w:val="Compact"/>
              <w:jc w:val="left"/>
            </w:pPr>
            <w:r>
              <w:t xml:space="preserve">May 2025</w:t>
            </w:r>
          </w:p>
        </w:tc>
        <w:tc>
          <w:tcPr/>
          <w:p>
            <w:pPr>
              <w:pStyle w:val="Compact"/>
              <w:jc w:val="left"/>
            </w:pPr>
            <w:r>
              <w:t xml:space="preserve">16 hrs</w:t>
            </w:r>
          </w:p>
        </w:tc>
        <w:tc>
          <w:tcPr/>
          <w:p>
            <w:pPr>
              <w:pStyle w:val="Compact"/>
              <w:jc w:val="left"/>
            </w:pPr>
            <w:r>
              <w:t xml:space="preserve">75,000</w:t>
            </w:r>
          </w:p>
        </w:tc>
        <w:tc>
          <w:tcPr/>
          <w:p>
            <w:pPr>
              <w:pStyle w:val="Compact"/>
              <w:jc w:val="left"/>
            </w:pPr>
            <w:r>
              <w:t xml:space="preserve">1,200,000</w:t>
            </w:r>
          </w:p>
        </w:tc>
      </w:tr>
      <w:tr>
        <w:tc>
          <w:tcPr/>
          <w:p>
            <w:pPr>
              <w:pStyle w:val="Compact"/>
              <w:jc w:val="left"/>
            </w:pPr>
            <w:r>
              <w:t xml:space="preserve">06</w:t>
            </w:r>
          </w:p>
        </w:tc>
        <w:tc>
          <w:tcPr/>
          <w:p>
            <w:pPr>
              <w:pStyle w:val="Compact"/>
              <w:jc w:val="left"/>
            </w:pPr>
            <w:r>
              <w:t xml:space="preserve">Teacher Secondary – Development and delivery of a specialized workshop on STEM integration for secondary students, held at the district educational center in Colombia Bogotá.</w:t>
            </w:r>
          </w:p>
        </w:tc>
        <w:tc>
          <w:tcPr/>
          <w:p>
            <w:pPr>
              <w:pStyle w:val="Compact"/>
              <w:jc w:val="left"/>
            </w:pPr>
            <w:r>
              <w:t xml:space="preserve">May 2025</w:t>
            </w:r>
          </w:p>
        </w:tc>
        <w:tc>
          <w:tcPr/>
          <w:p>
            <w:pPr>
              <w:pStyle w:val="Compact"/>
              <w:jc w:val="left"/>
            </w:pPr>
            <w:r>
              <w:t xml:space="preserve">1</w:t>
            </w:r>
          </w:p>
        </w:tc>
        <w:tc>
          <w:tcPr/>
          <w:p>
            <w:pPr>
              <w:pStyle w:val="Compact"/>
              <w:jc w:val="left"/>
            </w:pPr>
            <w:r>
              <w:t xml:space="preserve">950,000</w:t>
            </w:r>
          </w:p>
        </w:tc>
        <w:tc>
          <w:tcPr/>
          <w:p>
            <w:pPr>
              <w:pStyle w:val="Compact"/>
              <w:jc w:val="left"/>
            </w:pPr>
            <w:r>
              <w:t xml:space="preserve">950,000</w:t>
            </w:r>
          </w:p>
        </w:tc>
      </w:tr>
      <w:tr>
        <w:tc>
          <w:tcPr/>
          <w:p>
            <w:pPr>
              <w:pStyle w:val="Compact"/>
              <w:jc w:val="left"/>
            </w:pPr>
            <w:r>
              <w:t xml:space="preserve">07</w:t>
            </w:r>
          </w:p>
        </w:tc>
        <w:tc>
          <w:tcPr/>
          <w:p>
            <w:pPr>
              <w:pStyle w:val="Compact"/>
              <w:jc w:val="left"/>
            </w:pPr>
            <w:r>
              <w:t xml:space="preserve">Teacher Secondary – Preparation of individualized learning plans (PIA) for 12 students with identified learning difficulties, in compliance with Colombian inclusive education regulations.</w:t>
            </w:r>
          </w:p>
        </w:tc>
        <w:tc>
          <w:tcPr/>
          <w:p>
            <w:pPr>
              <w:pStyle w:val="Compact"/>
              <w:jc w:val="left"/>
            </w:pPr>
            <w:r>
              <w:t xml:space="preserve">May 2025</w:t>
            </w:r>
          </w:p>
        </w:tc>
        <w:tc>
          <w:tcPr/>
          <w:p>
            <w:pPr>
              <w:pStyle w:val="Compact"/>
              <w:jc w:val="left"/>
            </w:pPr>
            <w:r>
              <w:t xml:space="preserve">12</w:t>
            </w:r>
          </w:p>
        </w:tc>
        <w:tc>
          <w:tcPr/>
          <w:p>
            <w:pPr>
              <w:pStyle w:val="Compact"/>
              <w:jc w:val="left"/>
            </w:pPr>
            <w:r>
              <w:t xml:space="preserve">85,000</w:t>
            </w:r>
          </w:p>
        </w:tc>
        <w:tc>
          <w:tcPr/>
          <w:p>
            <w:pPr>
              <w:pStyle w:val="Compact"/>
              <w:jc w:val="left"/>
            </w:pPr>
            <w:r>
              <w:t xml:space="preserve">1,020,000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11,250,000</w:t>
            </w:r>
          </w:p>
        </w:tc>
      </w:tr>
      <w:tr>
        <w:tc>
          <w:tcPr/>
          <w:p>
            <w:pPr>
              <w:pStyle w:val="Compact"/>
              <w:jc w:val="left"/>
            </w:pPr>
            <w:r>
              <w:t xml:space="preserve">IVA (19% – Colombian Tax)</w:t>
            </w:r>
          </w:p>
        </w:tc>
        <w:tc>
          <w:tcPr/>
          <w:p>
            <w:pPr>
              <w:pStyle w:val="Compact"/>
              <w:jc w:val="right"/>
            </w:pPr>
            <w:r>
              <w:t xml:space="preserve">2,137,500</w:t>
            </w:r>
          </w:p>
        </w:tc>
      </w:tr>
      <w:tr>
        <w:tc>
          <w:tcPr/>
          <w:p>
            <w:pPr>
              <w:pStyle w:val="Compact"/>
              <w:jc w:val="left"/>
            </w:pPr>
            <w:r>
              <w:t xml:space="preserve">ReteFuente (4% – Withholding)</w:t>
            </w:r>
          </w:p>
        </w:tc>
        <w:tc>
          <w:tcPr/>
          <w:p>
            <w:pPr>
              <w:pStyle w:val="Compact"/>
              <w:jc w:val="right"/>
            </w:pPr>
            <w:r>
              <w:t xml:space="preserve">-450,000</w:t>
            </w:r>
          </w:p>
        </w:tc>
      </w:tr>
      <w:tr>
        <w:tc>
          <w:tcPr/>
          <w:p>
            <w:pPr>
              <w:pStyle w:val="Compact"/>
              <w:jc w:val="left"/>
            </w:pPr>
            <w:r>
              <w:t xml:space="preserve">GRAND TOTAL (COP)</w:t>
            </w:r>
          </w:p>
        </w:tc>
        <w:tc>
          <w:tcPr/>
          <w:p>
            <w:pPr>
              <w:pStyle w:val="Compact"/>
              <w:jc w:val="right"/>
            </w:pPr>
            <w:r>
              <w:t xml:space="preserve">12,937,500</w:t>
            </w:r>
          </w:p>
        </w:tc>
      </w:tr>
    </w:tbl>
    <w:bookmarkStart w:id="23" w:name="invoice-notes-payment-instructions"/>
    <w:p>
      <w:pPr>
        <w:pStyle w:val="Heading4"/>
      </w:pPr>
      <w:r>
        <w:t xml:space="preserve">Invoice Notes &amp; Payment Instructions</w:t>
      </w:r>
    </w:p>
    <w:p>
      <w:pPr>
        <w:pStyle w:val="FirstParagraph"/>
      </w:pPr>
      <w:r>
        <w:rPr>
          <w:bCs/>
          <w:b/>
        </w:rPr>
        <w:t xml:space="preserve">Bank:</w:t>
      </w:r>
      <w:r>
        <w:t xml:space="preserve"> </w:t>
      </w:r>
      <w:r>
        <w:t xml:space="preserve">Banco de Bogotá</w:t>
      </w:r>
    </w:p>
    <w:p>
      <w:pPr>
        <w:pStyle w:val="BodyText"/>
      </w:pPr>
      <w:r>
        <w:rPr>
          <w:bCs/>
          <w:b/>
        </w:rPr>
        <w:t xml:space="preserve">Account Type:</w:t>
      </w:r>
      <w:r>
        <w:t xml:space="preserve"> </w:t>
      </w:r>
      <w:r>
        <w:t xml:space="preserve">Cuenta de Ahorros</w:t>
      </w:r>
    </w:p>
    <w:p>
      <w:pPr>
        <w:pStyle w:val="BodyText"/>
      </w:pPr>
      <w:r>
        <w:rPr>
          <w:bCs/>
          <w:b/>
        </w:rPr>
        <w:t xml:space="preserve">Account No.:</w:t>
      </w:r>
      <w:r>
        <w:t xml:space="preserve"> </w:t>
      </w:r>
      <w:r>
        <w:t xml:space="preserve">016-234567-89</w:t>
      </w:r>
    </w:p>
    <w:p>
      <w:pPr>
        <w:pStyle w:val="BodyText"/>
      </w:pPr>
      <w:r>
        <w:rPr>
          <w:bCs/>
          <w:b/>
        </w:rPr>
        <w:t xml:space="preserve">IBAN:</w:t>
      </w:r>
      <w:r>
        <w:t xml:space="preserve"> </w:t>
      </w:r>
      <w:r>
        <w:t xml:space="preserve">CO01 BDBK 0162 3456 7890</w:t>
      </w:r>
    </w:p>
    <w:p>
      <w:pPr>
        <w:pStyle w:val="BodyText"/>
      </w:pPr>
      <w:r>
        <w:rPr>
          <w:bCs/>
          <w:b/>
        </w:rPr>
        <w:t xml:space="preserve">Reference:</w:t>
      </w:r>
      <w:r>
        <w:t xml:space="preserve"> </w:t>
      </w:r>
      <w:r>
        <w:t xml:space="preserve">INV-BOG-2025-0487</w:t>
      </w:r>
    </w:p>
    <w:p>
      <w:pPr>
        <w:pStyle w:val="BodyText"/>
      </w:pPr>
      <w:r>
        <w:t xml:space="preserve">Please reference this Invoice number in all payment communications. This Invoice covers Teacher Secondary services rendered during the month of May 2025 at the institution located in Colombia Bogotá. All amounts are expressed in Colombian Pesos (COP). The applicable IVA rate of 19% is in accordance with the Colombian tax code (Estatuto Tributario). The ReteFuente deduction of 4% has been applied as mandated by the Dirección de Impuestos y Aduanas Nacionales (DIAN) for professional services rendered in Colombia Bogotá.</w:t>
      </w:r>
    </w:p>
    <w:bookmarkEnd w:id="23"/>
    <w:bookmarkStart w:id="24" w:name="terms-and-conditions"/>
    <w:p>
      <w:pPr>
        <w:pStyle w:val="Heading4"/>
      </w:pPr>
      <w:r>
        <w:t xml:space="preserve">Terms and Conditions</w:t>
      </w:r>
    </w:p>
    <w:p>
      <w:pPr>
        <w:pStyle w:val="FirstParagraph"/>
      </w:pPr>
      <w:r>
        <w:t xml:space="preserve">1. This Invoice is issued in accordance with the contractual agreement between the Teacher Secondary and Colegio Distrital Simón Bolívar, registered under the educational regulations of Colombia Bogotá.</w:t>
      </w:r>
    </w:p>
    <w:p>
      <w:pPr>
        <w:pStyle w:val="BodyText"/>
      </w:pPr>
      <w:r>
        <w:t xml:space="preserve">2. Payment is due within thirty (30) calendar days from the issue date of this Invoice. Late payments may incur a monthly interest rate as established by the Colombian Central Bank (Banco de la República).</w:t>
      </w:r>
    </w:p>
    <w:p>
      <w:pPr>
        <w:pStyle w:val="BodyText"/>
      </w:pPr>
      <w:r>
        <w:t xml:space="preserve">3. The Teacher Secondary reserves the right to suspend services if payment is not received by the due date specified on this Invoice.</w:t>
      </w:r>
    </w:p>
    <w:p>
      <w:pPr>
        <w:pStyle w:val="BodyText"/>
      </w:pPr>
      <w:r>
        <w:t xml:space="preserve">4. All educational services described in this Invoice comply with the quality standards set by the Secretaría de Educación Distrital de Colombia Bogotá and the national curriculum framework (Lineamientos Curriculares).</w:t>
      </w:r>
    </w:p>
    <w:p>
      <w:pPr>
        <w:pStyle w:val="BodyText"/>
      </w:pPr>
      <w:r>
        <w:t xml:space="preserve">5. This Invoice is valid for a period of ninety (90) days from the issue date. After this period, a revised Invoice may be required to reflect any applicable tax or regulatory changes in Colombia Bogotá.</w:t>
      </w:r>
    </w:p>
    <w:p>
      <w:pPr>
        <w:pStyle w:val="BodyText"/>
      </w:pPr>
      <w:r>
        <w:t xml:space="preserve">6. Any disputes arising from this Invoice shall be resolved through the competent judicial authorities of Colombia Bogotá, Cundinamarca, Colombia.</w:t>
      </w:r>
    </w:p>
    <w:bookmarkEnd w:id="24"/>
    <w:p>
      <w:pPr>
        <w:pStyle w:val="BodyText"/>
      </w:pPr>
      <w:r>
        <w:t xml:space="preserve">This Invoice was generated electronically and is valid without a physical signature in accordance with Colombian electronic document regulations (Ley 527 de 1999).</w:t>
      </w:r>
    </w:p>
    <w:p>
      <w:pPr>
        <w:pStyle w:val="BodyText"/>
      </w:pPr>
      <w:r>
        <w:t xml:space="preserve">Teacher Secondary Services | Colombia Bogotá | Invoice No. INV-BOG-2025-0487 | June 15, 2025</w:t>
      </w:r>
    </w:p>
    <w:p>
      <w:pPr>
        <w:pStyle w:val="BodyText"/>
      </w:pPr>
      <w:r>
        <w:t xml:space="preserve">For questions regarding this Invoice, please contact the billing office at direccion@colegiosimonbolivar.edu.co or +57 (601) 555-3321.</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Teacher Secondary Services - Colombia Bogotá</dc:title>
  <dc:creator/>
  <dc:language>en</dc:language>
  <cp:keywords/>
  <dcterms:created xsi:type="dcterms:W3CDTF">2026-10-10T02:01:15Z</dcterms:created>
  <dcterms:modified xsi:type="dcterms:W3CDTF">2026-10-10T02:01:15Z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