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Teacher Secondary Services</w:t>
      </w:r>
      <w:r>
        <w:t xml:space="preserve"> </w:t>
      </w:r>
      <w:r>
        <w:t xml:space="preserve">Egypt Cairo</w:t>
      </w:r>
    </w:p>
    <w:bookmarkStart w:id="20" w:name="invoice-number-inv-egc-2025-04871"/>
    <w:p>
      <w:pPr>
        <w:pStyle w:val="Heading3"/>
      </w:pPr>
      <w:r>
        <w:t xml:space="preserve">Invoice Number: INV-EGC-2025-04871</w:t>
      </w:r>
    </w:p>
    <w:p>
      <w:pPr>
        <w:pStyle w:val="FirstParagraph"/>
      </w:pPr>
      <w:r>
        <w:t xml:space="preserve">Invoice Date: 15 June 2025</w:t>
      </w:r>
    </w:p>
    <w:p>
      <w:pPr>
        <w:pStyle w:val="BodyText"/>
      </w:pPr>
      <w:r>
        <w:t xml:space="preserve">Due Date: 30 June 2025</w:t>
      </w:r>
    </w:p>
    <w:p>
      <w:pPr>
        <w:pStyle w:val="BodyText"/>
      </w:pPr>
      <w:r>
        <w:t xml:space="preserve">Currency: Egyptian Pound (EGP)</w:t>
      </w:r>
    </w:p>
    <w:p>
      <w:pPr>
        <w:pStyle w:val="BodyText"/>
      </w:pPr>
      <w:r>
        <w:t xml:space="preserve">Status:</w:t>
      </w:r>
      <w:r>
        <w:t xml:space="preserve"> </w:t>
      </w:r>
      <w:r>
        <w:rPr>
          <w:bCs/>
          <w:b/>
        </w:rP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Cairo Secondary Education Academy</w:t>
      </w:r>
    </w:p>
    <w:p>
      <w:pPr>
        <w:pStyle w:val="BodyText"/>
      </w:pPr>
      <w:r>
        <w:t xml:space="preserve">127 El-Nasr Street, Nasr City District</w:t>
      </w:r>
    </w:p>
    <w:p>
      <w:pPr>
        <w:pStyle w:val="BodyText"/>
      </w:pPr>
      <w:r>
        <w:t xml:space="preserve">Cairo, Egypt 11371</w:t>
      </w:r>
    </w:p>
    <w:p>
      <w:pPr>
        <w:pStyle w:val="BodyText"/>
      </w:pPr>
      <w:r>
        <w:t xml:space="preserve">Tax Registration No.: 552-881-447-003</w:t>
      </w:r>
    </w:p>
    <w:p>
      <w:pPr>
        <w:pStyle w:val="BodyText"/>
      </w:pPr>
      <w:r>
        <w:t xml:space="preserve">VAT No.: EG-552881447003</w:t>
      </w:r>
    </w:p>
    <w:p>
      <w:pPr>
        <w:pStyle w:val="BodyText"/>
      </w:pPr>
      <w:r>
        <w:t xml:space="preserve">Phone: +20 2 2670 4412</w:t>
      </w:r>
    </w:p>
    <w:p>
      <w:pPr>
        <w:pStyle w:val="BodyText"/>
      </w:pPr>
      <w:r>
        <w:t xml:space="preserve">Email: billing@cairosecondary.edu.eg</w:t>
      </w:r>
    </w:p>
    <w:bookmarkEnd w:id="21"/>
    <w:bookmarkStart w:id="22" w:name="billed-to-client-employer"/>
    <w:p>
      <w:pPr>
        <w:pStyle w:val="Heading4"/>
      </w:pPr>
      <w:r>
        <w:t xml:space="preserve">Billed To (Client / Employer)</w:t>
      </w:r>
    </w:p>
    <w:p>
      <w:pPr>
        <w:pStyle w:val="FirstParagraph"/>
      </w:pPr>
      <w:r>
        <w:rPr>
          <w:bCs/>
          <w:b/>
        </w:rPr>
        <w:t xml:space="preserve">Al-Nile Private Secondary School</w:t>
      </w:r>
    </w:p>
    <w:p>
      <w:pPr>
        <w:pStyle w:val="BodyText"/>
      </w:pPr>
      <w:r>
        <w:t xml:space="preserve">45 Corniche El-Nil, Dokki District</w:t>
      </w:r>
    </w:p>
    <w:p>
      <w:pPr>
        <w:pStyle w:val="BodyText"/>
      </w:pPr>
      <w:r>
        <w:t xml:space="preserve">Giza, Egypt Cairo 12611</w:t>
      </w:r>
    </w:p>
    <w:p>
      <w:pPr>
        <w:pStyle w:val="BodyText"/>
      </w:pPr>
      <w:r>
        <w:t xml:space="preserve">Commercial Reg. No.: 774-220-915</w:t>
      </w:r>
    </w:p>
    <w:p>
      <w:pPr>
        <w:pStyle w:val="BodyText"/>
      </w:pPr>
      <w:r>
        <w:t xml:space="preserve">Contact: Mr. Ahmed Hassan, Academic Director</w:t>
      </w:r>
    </w:p>
    <w:p>
      <w:pPr>
        <w:pStyle w:val="BodyText"/>
      </w:pPr>
      <w:r>
        <w:t xml:space="preserve">Phone: +20 2 3301 8856</w:t>
      </w:r>
    </w:p>
    <w:p>
      <w:pPr>
        <w:pStyle w:val="BodyText"/>
      </w:pPr>
      <w:r>
        <w:t xml:space="preserve">Email: procurement@alnilesecondary.edu.eg</w:t>
      </w:r>
    </w:p>
    <w:bookmarkEnd w:id="22"/>
    <w:p>
      <w:pPr>
        <w:pStyle w:val="BodyText"/>
      </w:pPr>
      <w:r>
        <w:rPr>
          <w:bCs/>
          <w:b/>
        </w:rPr>
        <w:t xml:space="preserve">Invoice Reference:</w:t>
      </w:r>
      <w:r>
        <w:t xml:space="preserve"> </w:t>
      </w:r>
      <w:r>
        <w:t xml:space="preserve">This Invoice is issued in accordance with the employment and service agreement between Cairo Secondary Education Academy and Al-Nile Private Secondary School for the provision of qualified</w:t>
      </w:r>
      <w:r>
        <w:t xml:space="preserve"> </w:t>
      </w:r>
      <w:r>
        <w:t xml:space="preserve">Teacher Secondary</w:t>
      </w:r>
      <w:r>
        <w:t xml:space="preserve"> </w:t>
      </w:r>
      <w:r>
        <w:t xml:space="preserve">personnel. All services rendered under this Invoice pertain to the academic year 2024/2025, specifically the second semester, delivered within the jurisdiction of</w:t>
      </w:r>
      <w:r>
        <w:t xml:space="preserve"> </w:t>
      </w:r>
      <w:r>
        <w:t xml:space="preserve">Egypt Cairo</w:t>
      </w:r>
      <w:r>
        <w:t xml:space="preserve"> </w:t>
      </w:r>
      <w:r>
        <w:t xml:space="preserve">and its surrounding metropolitan educational districts.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Teacher Secondary Service</w:t>
            </w:r>
          </w:p>
        </w:tc>
        <w:tc>
          <w:tcPr/>
          <w:p>
            <w:pPr>
              <w:pStyle w:val="Compact"/>
              <w:jc w:val="left"/>
            </w:pPr>
            <w:r>
              <w:t xml:space="preserve">Subject / Grade</w:t>
            </w:r>
          </w:p>
        </w:tc>
        <w:tc>
          <w:tcPr/>
          <w:p>
            <w:pPr>
              <w:pStyle w:val="Compact"/>
              <w:jc w:val="left"/>
            </w:pPr>
            <w:r>
              <w:t xml:space="preserve">Hours</w:t>
            </w:r>
          </w:p>
        </w:tc>
        <w:tc>
          <w:tcPr/>
          <w:p>
            <w:pPr>
              <w:pStyle w:val="Compact"/>
              <w:jc w:val="left"/>
            </w:pPr>
            <w:r>
              <w:t xml:space="preserve">Rate (EGP/hr)</w:t>
            </w:r>
          </w:p>
        </w:tc>
        <w:tc>
          <w:tcPr/>
          <w:p>
            <w:pPr>
              <w:pStyle w:val="Compact"/>
              <w:jc w:val="left"/>
            </w:pPr>
            <w:r>
              <w:t xml:space="preserve">Amount (EGP)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Teacher Secondary – Mathematics Instruction (Grades 9–12), including lesson planning, classroom delivery, and assessment design</w:t>
            </w:r>
          </w:p>
        </w:tc>
        <w:tc>
          <w:tcPr/>
          <w:p>
            <w:pPr>
              <w:pStyle w:val="Compact"/>
              <w:jc w:val="left"/>
            </w:pPr>
            <w:r>
              <w:t xml:space="preserve">Mathematics / Sec. 9–12</w:t>
            </w:r>
          </w:p>
        </w:tc>
        <w:tc>
          <w:tcPr/>
          <w:p>
            <w:pPr>
              <w:pStyle w:val="Compact"/>
              <w:jc w:val="left"/>
            </w:pPr>
            <w:r>
              <w:t xml:space="preserve">180</w:t>
            </w:r>
          </w:p>
        </w:tc>
        <w:tc>
          <w:tcPr/>
          <w:p>
            <w:pPr>
              <w:pStyle w:val="Compact"/>
              <w:jc w:val="left"/>
            </w:pPr>
            <w:r>
              <w:t xml:space="preserve">250.00</w:t>
            </w:r>
          </w:p>
        </w:tc>
        <w:tc>
          <w:tcPr/>
          <w:p>
            <w:pPr>
              <w:pStyle w:val="Compact"/>
              <w:jc w:val="left"/>
            </w:pPr>
            <w:r>
              <w:t xml:space="preserve">45,000.00</w:t>
            </w:r>
          </w:p>
        </w:tc>
        <w:tc>
          <w:tcPr/>
          <w:p>
            <w:pPr>
              <w:pStyle w:val="Compact"/>
              <w:jc w:val="left"/>
            </w:pPr>
            <w:r>
              <w:t xml:space="preserve">Jan – Jun 2025</w:t>
            </w:r>
          </w:p>
        </w:tc>
      </w:tr>
      <w:tr>
        <w:tc>
          <w:tcPr/>
          <w:p>
            <w:pPr>
              <w:pStyle w:val="Compact"/>
              <w:jc w:val="left"/>
            </w:pPr>
            <w:r>
              <w:t xml:space="preserve">2</w:t>
            </w:r>
          </w:p>
        </w:tc>
        <w:tc>
          <w:tcPr/>
          <w:p>
            <w:pPr>
              <w:pStyle w:val="Compact"/>
              <w:jc w:val="left"/>
            </w:pPr>
            <w:r>
              <w:t xml:space="preserve">Teacher Secondary – Physics Laboratory Supervision and Practical Experiments for Secondary Students</w:t>
            </w:r>
          </w:p>
        </w:tc>
        <w:tc>
          <w:tcPr/>
          <w:p>
            <w:pPr>
              <w:pStyle w:val="Compact"/>
              <w:jc w:val="left"/>
            </w:pPr>
            <w:r>
              <w:t xml:space="preserve">Physics / Sec. 11–12</w:t>
            </w:r>
          </w:p>
        </w:tc>
        <w:tc>
          <w:tcPr/>
          <w:p>
            <w:pPr>
              <w:pStyle w:val="Compact"/>
              <w:jc w:val="left"/>
            </w:pPr>
            <w:r>
              <w:t xml:space="preserve">96</w:t>
            </w:r>
          </w:p>
        </w:tc>
        <w:tc>
          <w:tcPr/>
          <w:p>
            <w:pPr>
              <w:pStyle w:val="Compact"/>
              <w:jc w:val="left"/>
            </w:pPr>
            <w:r>
              <w:t xml:space="preserve">300.00</w:t>
            </w:r>
          </w:p>
        </w:tc>
        <w:tc>
          <w:tcPr/>
          <w:p>
            <w:pPr>
              <w:pStyle w:val="Compact"/>
              <w:jc w:val="left"/>
            </w:pPr>
            <w:r>
              <w:t xml:space="preserve">28,800.00</w:t>
            </w:r>
          </w:p>
        </w:tc>
        <w:tc>
          <w:tcPr/>
          <w:p>
            <w:pPr>
              <w:pStyle w:val="Compact"/>
              <w:jc w:val="left"/>
            </w:pPr>
            <w:r>
              <w:t xml:space="preserve">Jan – Jun 2025</w:t>
            </w:r>
          </w:p>
        </w:tc>
      </w:tr>
      <w:tr>
        <w:tc>
          <w:tcPr/>
          <w:p>
            <w:pPr>
              <w:pStyle w:val="Compact"/>
              <w:jc w:val="left"/>
            </w:pPr>
            <w:r>
              <w:t xml:space="preserve">3</w:t>
            </w:r>
          </w:p>
        </w:tc>
        <w:tc>
          <w:tcPr/>
          <w:p>
            <w:pPr>
              <w:pStyle w:val="Compact"/>
              <w:jc w:val="left"/>
            </w:pPr>
            <w:r>
              <w:t xml:space="preserve">Teacher Secondary – Arabic Language and Literature Instruction, including Tawjihi (Secondary Certificate) exam preparation</w:t>
            </w:r>
          </w:p>
        </w:tc>
        <w:tc>
          <w:tcPr/>
          <w:p>
            <w:pPr>
              <w:pStyle w:val="Compact"/>
              <w:jc w:val="left"/>
            </w:pPr>
            <w:r>
              <w:t xml:space="preserve">Arabic / Sec. 12</w:t>
            </w:r>
          </w:p>
        </w:tc>
        <w:tc>
          <w:tcPr/>
          <w:p>
            <w:pPr>
              <w:pStyle w:val="Compact"/>
              <w:jc w:val="left"/>
            </w:pPr>
            <w:r>
              <w:t xml:space="preserve">144</w:t>
            </w:r>
          </w:p>
        </w:tc>
        <w:tc>
          <w:tcPr/>
          <w:p>
            <w:pPr>
              <w:pStyle w:val="Compact"/>
              <w:jc w:val="left"/>
            </w:pPr>
            <w:r>
              <w:t xml:space="preserve">275.00</w:t>
            </w:r>
          </w:p>
        </w:tc>
        <w:tc>
          <w:tcPr/>
          <w:p>
            <w:pPr>
              <w:pStyle w:val="Compact"/>
              <w:jc w:val="left"/>
            </w:pPr>
            <w:r>
              <w:t xml:space="preserve">39,600.00</w:t>
            </w:r>
          </w:p>
        </w:tc>
        <w:tc>
          <w:tcPr/>
          <w:p>
            <w:pPr>
              <w:pStyle w:val="Compact"/>
              <w:jc w:val="left"/>
            </w:pPr>
            <w:r>
              <w:t xml:space="preserve">Jan – Jun 2025</w:t>
            </w:r>
          </w:p>
        </w:tc>
      </w:tr>
      <w:tr>
        <w:tc>
          <w:tcPr/>
          <w:p>
            <w:pPr>
              <w:pStyle w:val="Compact"/>
              <w:jc w:val="left"/>
            </w:pPr>
            <w:r>
              <w:t xml:space="preserve">4</w:t>
            </w:r>
          </w:p>
        </w:tc>
        <w:tc>
          <w:tcPr/>
          <w:p>
            <w:pPr>
              <w:pStyle w:val="Compact"/>
              <w:jc w:val="left"/>
            </w:pPr>
            <w:r>
              <w:t xml:space="preserve">Teacher Secondary – English Language Instruction and IELTS/TOEFL Preparation for Secondary Students in Egypt Cairo</w:t>
            </w:r>
          </w:p>
        </w:tc>
        <w:tc>
          <w:tcPr/>
          <w:p>
            <w:pPr>
              <w:pStyle w:val="Compact"/>
              <w:jc w:val="left"/>
            </w:pPr>
            <w:r>
              <w:t xml:space="preserve">English / Sec. 10–12</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33,600.00</w:t>
            </w:r>
          </w:p>
        </w:tc>
        <w:tc>
          <w:tcPr/>
          <w:p>
            <w:pPr>
              <w:pStyle w:val="Compact"/>
              <w:jc w:val="left"/>
            </w:pPr>
            <w:r>
              <w:t xml:space="preserve">Jan – Jun 2025</w:t>
            </w:r>
          </w:p>
        </w:tc>
      </w:tr>
      <w:tr>
        <w:tc>
          <w:tcPr/>
          <w:p>
            <w:pPr>
              <w:pStyle w:val="Compact"/>
              <w:jc w:val="left"/>
            </w:pPr>
            <w:r>
              <w:t xml:space="preserve">5</w:t>
            </w:r>
          </w:p>
        </w:tc>
        <w:tc>
          <w:tcPr/>
          <w:p>
            <w:pPr>
              <w:pStyle w:val="Compact"/>
              <w:jc w:val="left"/>
            </w:pPr>
            <w:r>
              <w:t xml:space="preserve">Teacher Secondary – Chemistry Theory and Practical Sessions, including safety compliance per Egyptian Ministry of Education standards</w:t>
            </w:r>
          </w:p>
        </w:tc>
        <w:tc>
          <w:tcPr/>
          <w:p>
            <w:pPr>
              <w:pStyle w:val="Compact"/>
              <w:jc w:val="left"/>
            </w:pPr>
            <w:r>
              <w:t xml:space="preserve">Chemistry / Sec. 11–12</w:t>
            </w:r>
          </w:p>
        </w:tc>
        <w:tc>
          <w:tcPr/>
          <w:p>
            <w:pPr>
              <w:pStyle w:val="Compact"/>
              <w:jc w:val="left"/>
            </w:pPr>
            <w:r>
              <w:t xml:space="preserve">96</w:t>
            </w:r>
          </w:p>
        </w:tc>
        <w:tc>
          <w:tcPr/>
          <w:p>
            <w:pPr>
              <w:pStyle w:val="Compact"/>
              <w:jc w:val="left"/>
            </w:pPr>
            <w:r>
              <w:t xml:space="preserve">300.00</w:t>
            </w:r>
          </w:p>
        </w:tc>
        <w:tc>
          <w:tcPr/>
          <w:p>
            <w:pPr>
              <w:pStyle w:val="Compact"/>
              <w:jc w:val="left"/>
            </w:pPr>
            <w:r>
              <w:t xml:space="preserve">28,800.00</w:t>
            </w:r>
          </w:p>
        </w:tc>
        <w:tc>
          <w:tcPr/>
          <w:p>
            <w:pPr>
              <w:pStyle w:val="Compact"/>
              <w:jc w:val="left"/>
            </w:pPr>
            <w:r>
              <w:t xml:space="preserve">Jan – Jun 2025</w:t>
            </w:r>
          </w:p>
        </w:tc>
      </w:tr>
      <w:tr>
        <w:tc>
          <w:tcPr/>
          <w:p>
            <w:pPr>
              <w:pStyle w:val="Compact"/>
              <w:jc w:val="left"/>
            </w:pPr>
            <w:r>
              <w:t xml:space="preserve">6</w:t>
            </w:r>
          </w:p>
        </w:tc>
        <w:tc>
          <w:tcPr/>
          <w:p>
            <w:pPr>
              <w:pStyle w:val="Compact"/>
              <w:jc w:val="left"/>
            </w:pPr>
            <w:r>
              <w:t xml:space="preserve">Teacher Secondary – Extracurricular Academic Tutoring and Remedial Support Programs for Underperforming Secondary Students</w:t>
            </w:r>
          </w:p>
        </w:tc>
        <w:tc>
          <w:tcPr/>
          <w:p>
            <w:pPr>
              <w:pStyle w:val="Compact"/>
              <w:jc w:val="left"/>
            </w:pPr>
            <w:r>
              <w:t xml:space="preserve">Multi-subject / Sec. 9–12</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13,200.00</w:t>
            </w:r>
          </w:p>
        </w:tc>
        <w:tc>
          <w:tcPr/>
          <w:p>
            <w:pPr>
              <w:pStyle w:val="Compact"/>
              <w:jc w:val="left"/>
            </w:pPr>
            <w:r>
              <w:t xml:space="preserve">Feb – May 2025</w:t>
            </w:r>
          </w:p>
        </w:tc>
      </w:tr>
      <w:tr>
        <w:tc>
          <w:tcPr/>
          <w:p>
            <w:pPr>
              <w:pStyle w:val="Compact"/>
              <w:jc w:val="left"/>
            </w:pPr>
            <w:r>
              <w:t xml:space="preserve">7</w:t>
            </w:r>
          </w:p>
        </w:tc>
        <w:tc>
          <w:tcPr/>
          <w:p>
            <w:pPr>
              <w:pStyle w:val="Compact"/>
              <w:jc w:val="left"/>
            </w:pPr>
            <w:r>
              <w:t xml:space="preserve">Teacher Secondary – Professional Development Workshop Delivery (Pedagogy, Digital Tools, and Assessment Reform) for School Faculty</w:t>
            </w:r>
          </w:p>
        </w:tc>
        <w:tc>
          <w:tcPr/>
          <w:p>
            <w:pPr>
              <w:pStyle w:val="Compact"/>
              <w:jc w:val="left"/>
            </w:pPr>
            <w:r>
              <w:t xml:space="preserve">Staff Training</w:t>
            </w:r>
          </w:p>
        </w:tc>
        <w:tc>
          <w:tcPr/>
          <w:p>
            <w:pPr>
              <w:pStyle w:val="Compact"/>
              <w:jc w:val="left"/>
            </w:pPr>
            <w:r>
              <w:t xml:space="preserve">16</w:t>
            </w:r>
          </w:p>
        </w:tc>
        <w:tc>
          <w:tcPr/>
          <w:p>
            <w:pPr>
              <w:pStyle w:val="Compact"/>
              <w:jc w:val="left"/>
            </w:pPr>
            <w:r>
              <w:t xml:space="preserve">500.00</w:t>
            </w:r>
          </w:p>
        </w:tc>
        <w:tc>
          <w:tcPr/>
          <w:p>
            <w:pPr>
              <w:pStyle w:val="Compact"/>
              <w:jc w:val="left"/>
            </w:pPr>
            <w:r>
              <w:t xml:space="preserve">8,000.00</w:t>
            </w:r>
          </w:p>
        </w:tc>
        <w:tc>
          <w:tcPr/>
          <w:p>
            <w:pPr>
              <w:pStyle w:val="Compact"/>
              <w:jc w:val="left"/>
            </w:pPr>
            <w:r>
              <w:t xml:space="preserve">Mar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197,000.00</w:t>
            </w:r>
          </w:p>
        </w:tc>
      </w:tr>
      <w:tr>
        <w:tc>
          <w:tcPr/>
          <w:p>
            <w:pPr>
              <w:pStyle w:val="Compact"/>
              <w:jc w:val="left"/>
            </w:pPr>
            <w:r>
              <w:t xml:space="preserve">VAT @ 14% (Egyptian Tax Authority)</w:t>
            </w:r>
          </w:p>
        </w:tc>
        <w:tc>
          <w:tcPr/>
          <w:p>
            <w:pPr>
              <w:pStyle w:val="Compact"/>
              <w:jc w:val="right"/>
            </w:pPr>
            <w:r>
              <w:t xml:space="preserve">27,580.00</w:t>
            </w:r>
          </w:p>
        </w:tc>
      </w:tr>
      <w:tr>
        <w:tc>
          <w:tcPr/>
          <w:p>
            <w:pPr>
              <w:pStyle w:val="Compact"/>
              <w:jc w:val="left"/>
            </w:pPr>
            <w:r>
              <w:t xml:space="preserve">Withholding Tax @ 10% (per Egyptian Tax Law)</w:t>
            </w:r>
          </w:p>
        </w:tc>
        <w:tc>
          <w:tcPr/>
          <w:p>
            <w:pPr>
              <w:pStyle w:val="Compact"/>
              <w:jc w:val="right"/>
            </w:pPr>
            <w:r>
              <w:t xml:space="preserve">-19,700.00</w:t>
            </w:r>
          </w:p>
        </w:tc>
      </w:tr>
      <w:tr>
        <w:tc>
          <w:tcPr/>
          <w:p>
            <w:pPr>
              <w:pStyle w:val="Compact"/>
              <w:jc w:val="left"/>
            </w:pPr>
            <w:r>
              <w:t xml:space="preserve">Net Payable Amount (EGP)</w:t>
            </w:r>
          </w:p>
        </w:tc>
        <w:tc>
          <w:tcPr/>
          <w:p>
            <w:pPr>
              <w:pStyle w:val="Compact"/>
              <w:jc w:val="right"/>
            </w:pPr>
            <w:r>
              <w:t xml:space="preserve">204,880.00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National Bank of Egypt (NBE)</w:t>
      </w:r>
    </w:p>
    <w:p>
      <w:pPr>
        <w:pStyle w:val="BodyText"/>
      </w:pPr>
      <w:r>
        <w:rPr>
          <w:bCs/>
          <w:b/>
        </w:rPr>
        <w:t xml:space="preserve">Branch:</w:t>
      </w:r>
      <w:r>
        <w:t xml:space="preserve"> </w:t>
      </w:r>
      <w:r>
        <w:t xml:space="preserve">Nasr City, Cairo, Egypt</w:t>
      </w:r>
    </w:p>
    <w:p>
      <w:pPr>
        <w:pStyle w:val="BodyText"/>
      </w:pPr>
      <w:r>
        <w:rPr>
          <w:bCs/>
          <w:b/>
        </w:rPr>
        <w:t xml:space="preserve">Account Name:</w:t>
      </w:r>
      <w:r>
        <w:t xml:space="preserve"> </w:t>
      </w:r>
      <w:r>
        <w:t xml:space="preserve">Cairo Secondary Education Academy</w:t>
      </w:r>
    </w:p>
    <w:p>
      <w:pPr>
        <w:pStyle w:val="BodyText"/>
      </w:pPr>
      <w:r>
        <w:rPr>
          <w:bCs/>
          <w:b/>
        </w:rPr>
        <w:t xml:space="preserve">Account No.:</w:t>
      </w:r>
      <w:r>
        <w:t xml:space="preserve"> </w:t>
      </w:r>
      <w:r>
        <w:t xml:space="preserve">1004-5521-8873-0091</w:t>
      </w:r>
    </w:p>
    <w:p>
      <w:pPr>
        <w:pStyle w:val="BodyText"/>
      </w:pPr>
      <w:r>
        <w:rPr>
          <w:bCs/>
          <w:b/>
        </w:rPr>
        <w:t xml:space="preserve">IBAN:</w:t>
      </w:r>
      <w:r>
        <w:t xml:space="preserve"> </w:t>
      </w:r>
      <w:r>
        <w:t xml:space="preserve">EG38 NBE0 0001 0001 0045 5218 8730 091</w:t>
      </w:r>
    </w:p>
    <w:p>
      <w:pPr>
        <w:pStyle w:val="BodyText"/>
      </w:pPr>
      <w:r>
        <w:rPr>
          <w:bCs/>
          <w:b/>
        </w:rPr>
        <w:t xml:space="preserve">SWIFT Code:</w:t>
      </w:r>
      <w:r>
        <w:t xml:space="preserve"> </w:t>
      </w:r>
      <w:r>
        <w:t xml:space="preserve">NBEDEGCAXXX</w:t>
      </w:r>
    </w:p>
    <w:bookmarkEnd w:id="23"/>
    <w:bookmarkStart w:id="24" w:name="payment-terms"/>
    <w:p>
      <w:pPr>
        <w:pStyle w:val="Heading4"/>
      </w:pPr>
      <w:r>
        <w:t xml:space="preserve">Payment Terms</w:t>
      </w:r>
    </w:p>
    <w:p>
      <w:pPr>
        <w:pStyle w:val="FirstParagraph"/>
      </w:pPr>
      <w:r>
        <w:t xml:space="preserve">Payment is due within</w:t>
      </w:r>
      <w:r>
        <w:t xml:space="preserve"> </w:t>
      </w:r>
      <w:r>
        <w:rPr>
          <w:bCs/>
          <w:b/>
        </w:rPr>
        <w:t xml:space="preserve">15 calendar days</w:t>
      </w:r>
      <w:r>
        <w:t xml:space="preserve"> </w:t>
      </w:r>
      <w:r>
        <w:t xml:space="preserve">from the Invoice date (i.e., by 30 June 2025).</w:t>
      </w:r>
    </w:p>
    <w:p>
      <w:pPr>
        <w:pStyle w:val="BodyText"/>
      </w:pPr>
      <w:r>
        <w:t xml:space="preserve">Accepted methods: Bank transfer (T/T), Egyptian Central Bank electronic payment, or certified cheque payable to Cairo Secondary Education Academy.</w:t>
      </w:r>
    </w:p>
    <w:p>
      <w:pPr>
        <w:pStyle w:val="BodyText"/>
      </w:pPr>
      <w:r>
        <w:t xml:space="preserve">Late payments shall incur a penalty of 1.5% per month as stipulated under Egyptian Commercial Law.</w:t>
      </w:r>
    </w:p>
    <w:bookmarkEnd w:id="24"/>
    <w:bookmarkStart w:id="25" w:name="X1e0a00f87750d335e33132fc5df6f7d4df42cdf"/>
    <w:p>
      <w:pPr>
        <w:pStyle w:val="Heading4"/>
      </w:pPr>
      <w:r>
        <w:t xml:space="preserve">Important Notes and Terms Regarding This Invoice</w:t>
      </w:r>
    </w:p>
    <w:p>
      <w:pPr>
        <w:numPr>
          <w:ilvl w:val="0"/>
          <w:numId w:val="1001"/>
        </w:numPr>
        <w:pStyle w:val="Compact"/>
      </w:pPr>
      <w:r>
        <w:t xml:space="preserve">This Invoice covers all</w:t>
      </w:r>
      <w:r>
        <w:t xml:space="preserve"> </w:t>
      </w:r>
      <w:r>
        <w:t xml:space="preserve">Teacher Secondary</w:t>
      </w:r>
      <w:r>
        <w:t xml:space="preserve"> </w:t>
      </w:r>
      <w:r>
        <w:t xml:space="preserve">services rendered between 6 January 2025 and 20 June 2025 at the Al-Nile Private Secondary School campus located in the Dokki district of</w:t>
      </w:r>
      <w:r>
        <w:t xml:space="preserve"> </w:t>
      </w:r>
      <w:r>
        <w:t xml:space="preserve">Egypt Cairo</w:t>
      </w:r>
      <w:r>
        <w:t xml:space="preserve">.</w:t>
      </w:r>
    </w:p>
    <w:p>
      <w:pPr>
        <w:numPr>
          <w:ilvl w:val="0"/>
          <w:numId w:val="1001"/>
        </w:numPr>
        <w:pStyle w:val="Compact"/>
      </w:pPr>
      <w:r>
        <w:t xml:space="preserve">All Teacher Secondary personnel listed under this Invoice hold valid teaching licenses issued by the Egyptian Ministry of Education and Technical Education, and their qualifications have been verified in accordance with national secondary education standards.</w:t>
      </w:r>
    </w:p>
    <w:p>
      <w:pPr>
        <w:numPr>
          <w:ilvl w:val="0"/>
          <w:numId w:val="1001"/>
        </w:numPr>
        <w:pStyle w:val="Compact"/>
      </w:pPr>
      <w:r>
        <w:t xml:space="preserve">The VAT rate of 14% applied on this Invoice is in compliance with the Egyptian Value Added Tax Law No. 67 of 2016 and its subsequent amendments. The withholding tax deduction of 10% is applied per Article 69 of the Egyptian Income Tax Law.</w:t>
      </w:r>
    </w:p>
    <w:p>
      <w:pPr>
        <w:numPr>
          <w:ilvl w:val="0"/>
          <w:numId w:val="1001"/>
        </w:numPr>
        <w:pStyle w:val="Compact"/>
      </w:pPr>
      <w:r>
        <w:t xml:space="preserve">Any disputes arising from this Invoice shall be governed by the laws of the Arab Republic of Egypt and shall be subject to the jurisdiction of the competent courts in Cairo, Egypt.</w:t>
      </w:r>
    </w:p>
    <w:p>
      <w:pPr>
        <w:numPr>
          <w:ilvl w:val="0"/>
          <w:numId w:val="1001"/>
        </w:numPr>
        <w:pStyle w:val="Compact"/>
      </w:pPr>
      <w:r>
        <w:t xml:space="preserve">This Invoice is valid for a period of 90 days from the date of issue. After this period, the Invoice may be subject to re-issuance with updated tax calculations.</w:t>
      </w:r>
    </w:p>
    <w:p>
      <w:pPr>
        <w:numPr>
          <w:ilvl w:val="0"/>
          <w:numId w:val="1001"/>
        </w:numPr>
        <w:pStyle w:val="Compact"/>
      </w:pPr>
      <w:r>
        <w:t xml:space="preserve">The Teacher Secondary services described herein include all instructional hours, preparation time, assessment grading, parent-teacher conference attendance, and compliance with the Egyptian secondary curriculum framework as mandated by the Ministry of Education.</w:t>
      </w:r>
    </w:p>
    <w:p>
      <w:pPr>
        <w:numPr>
          <w:ilvl w:val="0"/>
          <w:numId w:val="1001"/>
        </w:numPr>
        <w:pStyle w:val="Compact"/>
      </w:pPr>
      <w:r>
        <w:t xml:space="preserve">For any queries regarding this Invoice, please contact the billing department of Cairo Secondary Education Academy at billing@cairosecondary.edu.eg or by phone at +20 2 2670 4412, Monday through Friday, 9:00 AM to 4:00 PM (Egypt Standard Time, UTC+2).</w:t>
      </w:r>
    </w:p>
    <w:p>
      <w:pPr>
        <w:numPr>
          <w:ilvl w:val="0"/>
          <w:numId w:val="1001"/>
        </w:numPr>
        <w:pStyle w:val="Compact"/>
      </w:pPr>
      <w:r>
        <w:t xml:space="preserve">This Invoice constitutes a legally binding financial document under Egyptian commercial and tax regulations. A stamped and signed copy must be retained by both parties for a minimum of five (5) years as required by the Egyptian Tax Authority.</w:t>
      </w:r>
    </w:p>
    <w:bookmarkEnd w:id="25"/>
    <w:p>
      <w:pPr>
        <w:pStyle w:val="FirstParagraph"/>
      </w:pPr>
      <w:r>
        <w:t xml:space="preserve">Authorized Signatory (Issuer):</w:t>
      </w:r>
    </w:p>
    <w:p>
      <w:pPr>
        <w:pStyle w:val="BodyText"/>
      </w:pPr>
      <w:r>
        <w:t xml:space="preserve">Dr. Mona El-Sayed, Chief Academic Officer</w:t>
      </w:r>
    </w:p>
    <w:p>
      <w:pPr>
        <w:pStyle w:val="BodyText"/>
      </w:pPr>
      <w:r>
        <w:t xml:space="preserve">Cairo Secondary Education Academy</w:t>
      </w:r>
    </w:p>
    <w:p>
      <w:pPr>
        <w:pStyle w:val="BodyText"/>
      </w:pPr>
      <w:r>
        <w:t xml:space="preserve">Received By (Client):</w:t>
      </w:r>
    </w:p>
    <w:p>
      <w:pPr>
        <w:pStyle w:val="BodyText"/>
      </w:pPr>
      <w:r>
        <w:t xml:space="preserve">Mr. Ahmed Hassan, Academic Director</w:t>
      </w:r>
    </w:p>
    <w:p>
      <w:pPr>
        <w:pStyle w:val="BodyText"/>
      </w:pPr>
      <w:r>
        <w:t xml:space="preserve">Al-Nile Private Secondary School, Egypt Cairo</w:t>
      </w:r>
    </w:p>
    <w:p>
      <w:pPr>
        <w:pStyle w:val="BodyText"/>
      </w:pPr>
      <w:r>
        <w:t xml:space="preserve">This Invoice was generated by Cairo Secondary Education Academy, registered in Cairo, Egypt.</w:t>
      </w:r>
      <w:r>
        <w:t xml:space="preserve"> </w:t>
      </w:r>
      <w:r>
        <w:t xml:space="preserve">All Teacher Secondary services are delivered in full compliance with the Egyptian Ministry of Education regulations</w:t>
      </w:r>
      <w:r>
        <w:t xml:space="preserve"> </w:t>
      </w:r>
      <w:r>
        <w:t xml:space="preserve">and the national secondary education curriculum framework.</w:t>
      </w:r>
    </w:p>
    <w:p>
      <w:pPr>
        <w:pStyle w:val="BodyText"/>
      </w:pPr>
      <w:r>
        <w:t xml:space="preserve">Invoice INV-EGC-2025-04871 | Issued in Egypt Cairo | For the academic provision of Teacher Secondary personnel |</w:t>
      </w:r>
      <w:r>
        <w:t xml:space="preserve"> </w:t>
      </w:r>
      <w:r>
        <w:t xml:space="preserve">This document is electronically generated and does not require a physical stamp to be valid under Egyptian e-commerce law.</w:t>
      </w:r>
    </w:p>
    <w:p>
      <w:pPr>
        <w:pStyle w:val="BodyText"/>
      </w:pPr>
      <w:r>
        <w:t xml:space="preserve">© 2025 Cairo Secondary Education Academy. All rights reserved. | Tax Reg: 552-881-447-003 |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Egypt Cairo</dc:title>
  <dc:creator/>
  <dc:language>en</dc:language>
  <cp:keywords/>
  <dcterms:created xsi:type="dcterms:W3CDTF">2026-10-10T05:47:39Z</dcterms:created>
  <dcterms:modified xsi:type="dcterms:W3CDTF">2026-10-10T05:47:39Z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