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invoice"/>
    <w:p>
      <w:pPr>
        <w:pStyle w:val="Heading1"/>
      </w:pPr>
      <w:r>
        <w:t xml:space="preserve">INVOICE</w:t>
      </w:r>
    </w:p>
    <w:p>
      <w:pPr>
        <w:pStyle w:val="FirstParagraph"/>
      </w:pPr>
      <w:r>
        <w:t xml:space="preserve">Teacher Secondary Educational Services — France Marseille</w:t>
      </w:r>
    </w:p>
    <w:p>
      <w:pPr>
        <w:pStyle w:val="BodyText"/>
      </w:pPr>
      <w:r>
        <w:t xml:space="preserve">Official Billing Document for Secondary Education Personnel</w:t>
      </w:r>
    </w:p>
    <w:bookmarkEnd w:id="20"/>
    <w:bookmarkStart w:id="21" w:name="invoice-no.-fr-mrs-2025-04872"/>
    <w:p>
      <w:pPr>
        <w:pStyle w:val="Heading2"/>
      </w:pPr>
      <w:r>
        <w:t xml:space="preserve">Invoice No. FR-MRS-2025-04872</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bookmarkEnd w:id="21"/>
    <w:bookmarkStart w:id="22" w:name="issued-by-service-provider"/>
    <w:p>
      <w:pPr>
        <w:pStyle w:val="Heading3"/>
      </w:pPr>
      <w:r>
        <w:t xml:space="preserve">Issued By (Service Provider)</w:t>
      </w:r>
    </w:p>
    <w:p>
      <w:pPr>
        <w:pStyle w:val="FirstParagraph"/>
      </w:pPr>
      <w:r>
        <w:rPr>
          <w:bCs/>
          <w:b/>
        </w:rPr>
        <w:t xml:space="preserve">Académie d'Aix-Marseille — Direction des Ressources Humaines</w:t>
      </w:r>
    </w:p>
    <w:p>
      <w:pPr>
        <w:pStyle w:val="BodyText"/>
      </w:pPr>
      <w:r>
        <w:t xml:space="preserve">12 Boulevard Longchamp</w:t>
      </w:r>
    </w:p>
    <w:p>
      <w:pPr>
        <w:pStyle w:val="BodyText"/>
      </w:pPr>
      <w:r>
        <w:t xml:space="preserve">13001 Marseille, Bouches-du-Rhône</w:t>
      </w:r>
    </w:p>
    <w:p>
      <w:pPr>
        <w:pStyle w:val="BodyText"/>
      </w:pPr>
      <w:r>
        <w:t xml:space="preserve">France</w:t>
      </w:r>
    </w:p>
    <w:p>
      <w:pPr>
        <w:pStyle w:val="BodyText"/>
      </w:pPr>
      <w:r>
        <w:t xml:space="preserve">Tel: +33 (0)4 91 03 40 00</w:t>
      </w:r>
    </w:p>
    <w:p>
      <w:pPr>
        <w:pStyle w:val="BodyText"/>
      </w:pPr>
      <w:r>
        <w:t xml:space="preserve">Email: dhr.marseille@ac-aix-marseille.fr</w:t>
      </w:r>
    </w:p>
    <w:p>
      <w:pPr>
        <w:pStyle w:val="BodyText"/>
      </w:pPr>
      <w:r>
        <w:t xml:space="preserve">SIRET: 211 300 012 00045</w:t>
      </w:r>
    </w:p>
    <w:p>
      <w:pPr>
        <w:pStyle w:val="BodyText"/>
      </w:pPr>
      <w:r>
        <w:t xml:space="preserve">VAT ID (TVA): FR 45 211300012</w:t>
      </w:r>
    </w:p>
    <w:bookmarkEnd w:id="22"/>
    <w:bookmarkStart w:id="23" w:name="issued-to-recipient"/>
    <w:p>
      <w:pPr>
        <w:pStyle w:val="Heading3"/>
      </w:pPr>
      <w:r>
        <w:t xml:space="preserve">Issued To (Recipient)</w:t>
      </w:r>
    </w:p>
    <w:p>
      <w:pPr>
        <w:pStyle w:val="FirstParagraph"/>
      </w:pPr>
      <w:r>
        <w:rPr>
          <w:bCs/>
          <w:b/>
        </w:rPr>
        <w:t xml:space="preserve">Collège Jean Jaurès</w:t>
      </w:r>
    </w:p>
    <w:p>
      <w:pPr>
        <w:pStyle w:val="BodyText"/>
      </w:pPr>
      <w:r>
        <w:t xml:space="preserve">45 Rue de la République</w:t>
      </w:r>
    </w:p>
    <w:p>
      <w:pPr>
        <w:pStyle w:val="BodyText"/>
      </w:pPr>
      <w:r>
        <w:t xml:space="preserve">13002 Marseille, Bouches-du-Rhône</w:t>
      </w:r>
    </w:p>
    <w:p>
      <w:pPr>
        <w:pStyle w:val="BodyText"/>
      </w:pPr>
      <w:r>
        <w:t xml:space="preserve">France</w:t>
      </w:r>
    </w:p>
    <w:p>
      <w:pPr>
        <w:pStyle w:val="BodyText"/>
      </w:pPr>
      <w:r>
        <w:t xml:space="preserve">Attention: Madame Claire Dubois, Principal</w:t>
      </w:r>
    </w:p>
    <w:p>
      <w:pPr>
        <w:pStyle w:val="BodyText"/>
      </w:pPr>
      <w:r>
        <w:t xml:space="preserve">Tel: +33 (0)4 91 54 22 10</w:t>
      </w:r>
    </w:p>
    <w:p>
      <w:pPr>
        <w:pStyle w:val="BodyText"/>
      </w:pPr>
      <w:r>
        <w:t xml:space="preserve">Email: direction@college-jaures-marseille.fr</w:t>
      </w:r>
    </w:p>
    <w:p>
      <w:pPr>
        <w:pStyle w:val="BodyText"/>
      </w:pPr>
      <w:r>
        <w:t xml:space="preserve">Establishment Code: 0130024E</w:t>
      </w:r>
    </w:p>
    <w:bookmarkEnd w:id="23"/>
    <w:bookmarkStart w:id="25" w:name="Xf166788140afe8a98756478b7fd6f082319d1a6"/>
    <w:p>
      <w:pPr>
        <w:pStyle w:val="Heading2"/>
      </w:pPr>
      <w:r>
        <w:t xml:space="preserve">Description of Teacher Secondary Services Rendered</w:t>
      </w:r>
    </w:p>
    <w:p>
      <w:pPr>
        <w:pStyle w:val="FirstParagraph"/>
      </w:pPr>
      <w:r>
        <w:t xml:space="preserve">This Invoice documents the compensation and service fees for the Teacher Secondary personnel assigned to Collège Jean Jaurès in France Marseille during the 2024–2025 academic year. The following line items detail the specific Teacher Secondary duties, instructional hours, and supplementary educational responsibilities fulfilled in accordance with the French national curriculum standards for secondary education.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Teacher Secondary Role</w:t>
            </w:r>
          </w:p>
        </w:tc>
        <w:tc>
          <w:tcPr/>
          <w:p>
            <w:pPr>
              <w:pStyle w:val="Compact"/>
              <w:jc w:val="left"/>
            </w:pPr>
            <w:r>
              <w:t xml:space="preserve">Hours</w:t>
            </w:r>
          </w:p>
        </w:tc>
        <w:tc>
          <w:tcPr/>
          <w:p>
            <w:pPr>
              <w:pStyle w:val="Compact"/>
              <w:jc w:val="left"/>
            </w:pPr>
            <w:r>
              <w:t xml:space="preserve">Rate (€/hr)</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Core classroom instruction — Mathematics, Cycle 4 (Grades 6–9)</w:t>
            </w:r>
          </w:p>
        </w:tc>
        <w:tc>
          <w:tcPr/>
          <w:p>
            <w:pPr>
              <w:pStyle w:val="Compact"/>
              <w:jc w:val="left"/>
            </w:pPr>
            <w:r>
              <w:t xml:space="preserve">Teacher Secondary — Full-time</w:t>
            </w:r>
          </w:p>
        </w:tc>
        <w:tc>
          <w:tcPr/>
          <w:p>
            <w:pPr>
              <w:pStyle w:val="Compact"/>
              <w:jc w:val="left"/>
            </w:pPr>
            <w:r>
              <w:t xml:space="preserve">1,240</w:t>
            </w:r>
          </w:p>
        </w:tc>
        <w:tc>
          <w:tcPr/>
          <w:p>
            <w:pPr>
              <w:pStyle w:val="Compact"/>
              <w:jc w:val="left"/>
            </w:pPr>
            <w:r>
              <w:t xml:space="preserve">38.50</w:t>
            </w:r>
          </w:p>
        </w:tc>
        <w:tc>
          <w:tcPr/>
          <w:p>
            <w:pPr>
              <w:pStyle w:val="Compact"/>
              <w:jc w:val="left"/>
            </w:pPr>
            <w:r>
              <w:t xml:space="preserve">47,740.00</w:t>
            </w:r>
          </w:p>
        </w:tc>
      </w:tr>
      <w:tr>
        <w:tc>
          <w:tcPr/>
          <w:p>
            <w:pPr>
              <w:pStyle w:val="Compact"/>
              <w:jc w:val="left"/>
            </w:pPr>
            <w:r>
              <w:t xml:space="preserve">02</w:t>
            </w:r>
          </w:p>
        </w:tc>
        <w:tc>
          <w:tcPr/>
          <w:p>
            <w:pPr>
              <w:pStyle w:val="Compact"/>
              <w:jc w:val="left"/>
            </w:pPr>
            <w:r>
              <w:t xml:space="preserve">Homework supervision and tutoring sessions — France Marseille after-school program</w:t>
            </w:r>
          </w:p>
        </w:tc>
        <w:tc>
          <w:tcPr/>
          <w:p>
            <w:pPr>
              <w:pStyle w:val="Compact"/>
              <w:jc w:val="left"/>
            </w:pPr>
            <w:r>
              <w:t xml:space="preserve">Teacher Secondary — Supervisory</w:t>
            </w:r>
          </w:p>
        </w:tc>
        <w:tc>
          <w:tcPr/>
          <w:p>
            <w:pPr>
              <w:pStyle w:val="Compact"/>
              <w:jc w:val="left"/>
            </w:pPr>
            <w:r>
              <w:t xml:space="preserve">180</w:t>
            </w:r>
          </w:p>
        </w:tc>
        <w:tc>
          <w:tcPr/>
          <w:p>
            <w:pPr>
              <w:pStyle w:val="Compact"/>
              <w:jc w:val="left"/>
            </w:pPr>
            <w:r>
              <w:t xml:space="preserve">32.00</w:t>
            </w:r>
          </w:p>
        </w:tc>
        <w:tc>
          <w:tcPr/>
          <w:p>
            <w:pPr>
              <w:pStyle w:val="Compact"/>
              <w:jc w:val="left"/>
            </w:pPr>
            <w:r>
              <w:t xml:space="preserve">5,760.00</w:t>
            </w:r>
          </w:p>
        </w:tc>
      </w:tr>
      <w:tr>
        <w:tc>
          <w:tcPr/>
          <w:p>
            <w:pPr>
              <w:pStyle w:val="Compact"/>
              <w:jc w:val="left"/>
            </w:pPr>
            <w:r>
              <w:t xml:space="preserve">03</w:t>
            </w:r>
          </w:p>
        </w:tc>
        <w:tc>
          <w:tcPr/>
          <w:p>
            <w:pPr>
              <w:pStyle w:val="Compact"/>
              <w:jc w:val="left"/>
            </w:pPr>
            <w:r>
              <w:t xml:space="preserve">Preparation and administration of national baccalauréat preparatory examinations</w:t>
            </w:r>
          </w:p>
        </w:tc>
        <w:tc>
          <w:tcPr/>
          <w:p>
            <w:pPr>
              <w:pStyle w:val="Compact"/>
              <w:jc w:val="left"/>
            </w:pPr>
            <w:r>
              <w:t xml:space="preserve">Teacher Secondary — Examination Board</w:t>
            </w:r>
          </w:p>
        </w:tc>
        <w:tc>
          <w:tcPr/>
          <w:p>
            <w:pPr>
              <w:pStyle w:val="Compact"/>
              <w:jc w:val="left"/>
            </w:pPr>
            <w:r>
              <w:t xml:space="preserve">96</w:t>
            </w:r>
          </w:p>
        </w:tc>
        <w:tc>
          <w:tcPr/>
          <w:p>
            <w:pPr>
              <w:pStyle w:val="Compact"/>
              <w:jc w:val="left"/>
            </w:pPr>
            <w:r>
              <w:t xml:space="preserve">45.00</w:t>
            </w:r>
          </w:p>
        </w:tc>
        <w:tc>
          <w:tcPr/>
          <w:p>
            <w:pPr>
              <w:pStyle w:val="Compact"/>
              <w:jc w:val="left"/>
            </w:pPr>
            <w:r>
              <w:t xml:space="preserve">4,320.00</w:t>
            </w:r>
          </w:p>
        </w:tc>
      </w:tr>
      <w:tr>
        <w:tc>
          <w:tcPr/>
          <w:p>
            <w:pPr>
              <w:pStyle w:val="Compact"/>
              <w:jc w:val="left"/>
            </w:pPr>
            <w:r>
              <w:t xml:space="preserve">04</w:t>
            </w:r>
          </w:p>
        </w:tc>
        <w:tc>
          <w:tcPr/>
          <w:p>
            <w:pPr>
              <w:pStyle w:val="Compact"/>
              <w:jc w:val="left"/>
            </w:pPr>
            <w:r>
              <w:t xml:space="preserve">Participation in France Marseille inter-school pedagogical conferences and curriculum development workshops</w:t>
            </w:r>
          </w:p>
        </w:tc>
        <w:tc>
          <w:tcPr/>
          <w:p>
            <w:pPr>
              <w:pStyle w:val="Compact"/>
              <w:jc w:val="left"/>
            </w:pPr>
            <w:r>
              <w:t xml:space="preserve">Teacher Secondary — Professional Development</w:t>
            </w:r>
          </w:p>
        </w:tc>
        <w:tc>
          <w:tcPr/>
          <w:p>
            <w:pPr>
              <w:pStyle w:val="Compact"/>
              <w:jc w:val="left"/>
            </w:pPr>
            <w:r>
              <w:t xml:space="preserve">48</w:t>
            </w:r>
          </w:p>
        </w:tc>
        <w:tc>
          <w:tcPr/>
          <w:p>
            <w:pPr>
              <w:pStyle w:val="Compact"/>
              <w:jc w:val="left"/>
            </w:pPr>
            <w:r>
              <w:t xml:space="preserve">40.00</w:t>
            </w:r>
          </w:p>
        </w:tc>
        <w:tc>
          <w:tcPr/>
          <w:p>
            <w:pPr>
              <w:pStyle w:val="Compact"/>
              <w:jc w:val="left"/>
            </w:pPr>
            <w:r>
              <w:t xml:space="preserve">1,920.00</w:t>
            </w:r>
          </w:p>
        </w:tc>
      </w:tr>
      <w:tr>
        <w:tc>
          <w:tcPr/>
          <w:p>
            <w:pPr>
              <w:pStyle w:val="Compact"/>
              <w:jc w:val="left"/>
            </w:pPr>
            <w:r>
              <w:t xml:space="preserve">05</w:t>
            </w:r>
          </w:p>
        </w:tc>
        <w:tc>
          <w:tcPr/>
          <w:p>
            <w:pPr>
              <w:pStyle w:val="Compact"/>
              <w:jc w:val="left"/>
            </w:pPr>
            <w:r>
              <w:t xml:space="preserve">Student orientation counselling and individualized learning plan development</w:t>
            </w:r>
          </w:p>
        </w:tc>
        <w:tc>
          <w:tcPr/>
          <w:p>
            <w:pPr>
              <w:pStyle w:val="Compact"/>
              <w:jc w:val="left"/>
            </w:pPr>
            <w:r>
              <w:t xml:space="preserve">Teacher Secondary — Counselling</w:t>
            </w:r>
          </w:p>
        </w:tc>
        <w:tc>
          <w:tcPr/>
          <w:p>
            <w:pPr>
              <w:pStyle w:val="Compact"/>
              <w:jc w:val="left"/>
            </w:pPr>
            <w:r>
              <w:t xml:space="preserve">72</w:t>
            </w:r>
          </w:p>
        </w:tc>
        <w:tc>
          <w:tcPr/>
          <w:p>
            <w:pPr>
              <w:pStyle w:val="Compact"/>
              <w:jc w:val="left"/>
            </w:pPr>
            <w:r>
              <w:t xml:space="preserve">35.00</w:t>
            </w:r>
          </w:p>
        </w:tc>
        <w:tc>
          <w:tcPr/>
          <w:p>
            <w:pPr>
              <w:pStyle w:val="Compact"/>
              <w:jc w:val="left"/>
            </w:pPr>
            <w:r>
              <w:t xml:space="preserve">2,520.00</w:t>
            </w:r>
          </w:p>
        </w:tc>
      </w:tr>
      <w:tr>
        <w:tc>
          <w:tcPr/>
          <w:p>
            <w:pPr>
              <w:pStyle w:val="Compact"/>
              <w:jc w:val="left"/>
            </w:pPr>
            <w:r>
              <w:t xml:space="preserve">06</w:t>
            </w:r>
          </w:p>
        </w:tc>
        <w:tc>
          <w:tcPr/>
          <w:p>
            <w:pPr>
              <w:pStyle w:val="Compact"/>
              <w:jc w:val="left"/>
            </w:pPr>
            <w:r>
              <w:t xml:space="preserve">Supervision of school excursions and cultural field trips within Marseille metropolitan area</w:t>
            </w:r>
          </w:p>
        </w:tc>
        <w:tc>
          <w:tcPr/>
          <w:p>
            <w:pPr>
              <w:pStyle w:val="Compact"/>
              <w:jc w:val="left"/>
            </w:pPr>
            <w:r>
              <w:t xml:space="preserve">Teacher Secondary — Field Supervision</w:t>
            </w:r>
          </w:p>
        </w:tc>
        <w:tc>
          <w:tcPr/>
          <w:p>
            <w:pPr>
              <w:pStyle w:val="Compact"/>
              <w:jc w:val="left"/>
            </w:pPr>
            <w:r>
              <w:t xml:space="preserve">36</w:t>
            </w:r>
          </w:p>
        </w:tc>
        <w:tc>
          <w:tcPr/>
          <w:p>
            <w:pPr>
              <w:pStyle w:val="Compact"/>
              <w:jc w:val="left"/>
            </w:pPr>
            <w:r>
              <w:t xml:space="preserve">30.00</w:t>
            </w:r>
          </w:p>
        </w:tc>
        <w:tc>
          <w:tcPr/>
          <w:p>
            <w:pPr>
              <w:pStyle w:val="Compact"/>
              <w:jc w:val="left"/>
            </w:pPr>
            <w:r>
              <w:t xml:space="preserve">1,080.00</w:t>
            </w:r>
          </w:p>
        </w:tc>
      </w:tr>
      <w:tr>
        <w:tc>
          <w:tcPr/>
          <w:p>
            <w:pPr>
              <w:pStyle w:val="Compact"/>
              <w:jc w:val="left"/>
            </w:pPr>
            <w:r>
              <w:t xml:space="preserve">07</w:t>
            </w:r>
          </w:p>
        </w:tc>
        <w:tc>
          <w:tcPr/>
          <w:p>
            <w:pPr>
              <w:pStyle w:val="Compact"/>
              <w:jc w:val="left"/>
            </w:pPr>
            <w:r>
              <w:t xml:space="preserve">Administrative duties: report card preparation, attendance records, and parent-teacher communication</w:t>
            </w:r>
          </w:p>
        </w:tc>
        <w:tc>
          <w:tcPr/>
          <w:p>
            <w:pPr>
              <w:pStyle w:val="Compact"/>
              <w:jc w:val="left"/>
            </w:pPr>
            <w:r>
              <w:t xml:space="preserve">Teacher Secondary — Administrative</w:t>
            </w:r>
          </w:p>
        </w:tc>
        <w:tc>
          <w:tcPr/>
          <w:p>
            <w:pPr>
              <w:pStyle w:val="Compact"/>
              <w:jc w:val="left"/>
            </w:pPr>
            <w:r>
              <w:t xml:space="preserve">120</w:t>
            </w:r>
          </w:p>
        </w:tc>
        <w:tc>
          <w:tcPr/>
          <w:p>
            <w:pPr>
              <w:pStyle w:val="Compact"/>
              <w:jc w:val="left"/>
            </w:pPr>
            <w:r>
              <w:t xml:space="preserve">28.00</w:t>
            </w:r>
          </w:p>
        </w:tc>
        <w:tc>
          <w:tcPr/>
          <w:p>
            <w:pPr>
              <w:pStyle w:val="Compact"/>
              <w:jc w:val="left"/>
            </w:pPr>
            <w:r>
              <w:t xml:space="preserve">3,360.00</w:t>
            </w:r>
          </w:p>
        </w:tc>
      </w:tr>
      <w:tr>
        <w:tc>
          <w:tcPr/>
          <w:p>
            <w:pPr>
              <w:pStyle w:val="Compact"/>
              <w:jc w:val="left"/>
            </w:pPr>
            <w:r>
              <w:t xml:space="preserve">08</w:t>
            </w:r>
          </w:p>
        </w:tc>
        <w:tc>
          <w:tcPr/>
          <w:p>
            <w:pPr>
              <w:pStyle w:val="Compact"/>
              <w:jc w:val="left"/>
            </w:pPr>
            <w:r>
              <w:t xml:space="preserve">Co-teaching and inclusion support for students with special educational needs (ULIS program)</w:t>
            </w:r>
          </w:p>
        </w:tc>
        <w:tc>
          <w:tcPr/>
          <w:p>
            <w:pPr>
              <w:pStyle w:val="Compact"/>
              <w:jc w:val="left"/>
            </w:pPr>
            <w:r>
              <w:t xml:space="preserve">Teacher Secondary — Inclusion Specialist</w:t>
            </w:r>
          </w:p>
        </w:tc>
        <w:tc>
          <w:tcPr/>
          <w:p>
            <w:pPr>
              <w:pStyle w:val="Compact"/>
              <w:jc w:val="left"/>
            </w:pPr>
            <w:r>
              <w:t xml:space="preserve">84</w:t>
            </w:r>
          </w:p>
        </w:tc>
        <w:tc>
          <w:tcPr/>
          <w:p>
            <w:pPr>
              <w:pStyle w:val="Compact"/>
              <w:jc w:val="left"/>
            </w:pPr>
            <w:r>
              <w:t xml:space="preserve">42.00</w:t>
            </w:r>
          </w:p>
        </w:tc>
        <w:tc>
          <w:tcPr/>
          <w:p>
            <w:pPr>
              <w:pStyle w:val="Compact"/>
              <w:jc w:val="left"/>
            </w:pPr>
            <w:r>
              <w:t xml:space="preserve">3,528.00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€ 70,228.00</w:t>
            </w:r>
          </w:p>
        </w:tc>
      </w:tr>
      <w:tr>
        <w:tc>
          <w:tcPr/>
          <w:p>
            <w:pPr>
              <w:pStyle w:val="Compact"/>
              <w:jc w:val="left"/>
            </w:pPr>
            <w:r>
              <w:t xml:space="preserve">VAT (TVA) — 20% (French standard rate)</w:t>
            </w:r>
          </w:p>
        </w:tc>
        <w:tc>
          <w:tcPr/>
          <w:p>
            <w:pPr>
              <w:pStyle w:val="Compact"/>
              <w:jc w:val="right"/>
            </w:pPr>
            <w:r>
              <w:t xml:space="preserve">€ 14,045.60</w:t>
            </w:r>
          </w:p>
        </w:tc>
      </w:tr>
      <w:tr>
        <w:tc>
          <w:tcPr/>
          <w:p>
            <w:pPr>
              <w:pStyle w:val="Compact"/>
              <w:jc w:val="left"/>
            </w:pPr>
            <w:r>
              <w:t xml:space="preserve">Local Education Surcharge — France Marseille (2.5%)</w:t>
            </w:r>
          </w:p>
        </w:tc>
        <w:tc>
          <w:tcPr/>
          <w:p>
            <w:pPr>
              <w:pStyle w:val="Compact"/>
              <w:jc w:val="right"/>
            </w:pPr>
            <w:r>
              <w:t xml:space="preserve">€ 1,755.70</w:t>
            </w:r>
          </w:p>
        </w:tc>
      </w:tr>
      <w:tr>
        <w:tc>
          <w:tcPr/>
          <w:p>
            <w:pPr>
              <w:pStyle w:val="Compact"/>
              <w:jc w:val="left"/>
            </w:pPr>
            <w:r>
              <w:t xml:space="preserve">Deduction — Professional Development Grant (Académie d'Aix-Marseille)</w:t>
            </w:r>
          </w:p>
        </w:tc>
        <w:tc>
          <w:tcPr/>
          <w:p>
            <w:pPr>
              <w:pStyle w:val="Compact"/>
              <w:jc w:val="right"/>
            </w:pPr>
            <w:r>
              <w:t xml:space="preserve">− € 1,200.00</w:t>
            </w:r>
          </w:p>
        </w:tc>
      </w:tr>
      <w:tr>
        <w:tc>
          <w:tcPr/>
          <w:p>
            <w:pPr>
              <w:pStyle w:val="Compact"/>
              <w:jc w:val="left"/>
            </w:pPr>
            <w:r>
              <w:t xml:space="preserve">GRAND TOTAL DUE</w:t>
            </w:r>
          </w:p>
        </w:tc>
        <w:tc>
          <w:tcPr/>
          <w:p>
            <w:pPr>
              <w:pStyle w:val="Compact"/>
              <w:jc w:val="right"/>
            </w:pPr>
            <w:r>
              <w:t xml:space="preserve">€ 84,829.30</w:t>
            </w:r>
          </w:p>
        </w:tc>
      </w:tr>
    </w:tbl>
    <w:bookmarkStart w:id="24" w:name="invoice-terms-conditions-notes"/>
    <w:p>
      <w:pPr>
        <w:pStyle w:val="Heading3"/>
      </w:pPr>
      <w:r>
        <w:t xml:space="preserve">Invoice Terms, Conditions &amp; Notes</w:t>
      </w:r>
    </w:p>
    <w:p>
      <w:pPr>
        <w:numPr>
          <w:ilvl w:val="0"/>
          <w:numId w:val="1001"/>
        </w:numPr>
        <w:pStyle w:val="Compact"/>
      </w:pPr>
      <w:r>
        <w:t xml:space="preserve">This Invoice is issued in accordance with the French Code de l'Éducation and the collective bargaining agreements governing Teacher Secondary personnel within the Académie d'Aix-Marseille.</w:t>
      </w:r>
    </w:p>
    <w:p>
      <w:pPr>
        <w:numPr>
          <w:ilvl w:val="0"/>
          <w:numId w:val="1001"/>
        </w:numPr>
        <w:pStyle w:val="Compact"/>
      </w:pPr>
      <w:r>
        <w:t xml:space="preserve">Payment of this Invoice must be remitted within thirty (30) calendar days of the Invoice date to the designated bank account of the Académie d'Aix-Marseille, Direction des Ressources Humaines, Marseille, France. Late payments may incur a statutory interest penalty of 1.5% per month as per French commercial law (Article L441-10 du Code de commerce).</w:t>
      </w:r>
    </w:p>
    <w:p>
      <w:pPr>
        <w:numPr>
          <w:ilvl w:val="0"/>
          <w:numId w:val="1001"/>
        </w:numPr>
        <w:pStyle w:val="Compact"/>
      </w:pPr>
      <w:r>
        <w:t xml:space="preserve">All Teacher Secondary services described in this Invoice were delivered at the Collège Jean Jaurès campus in France Marseille and comply with the national secondary education framework (socle commun de connaissances, de compétences et de culture).</w:t>
      </w:r>
    </w:p>
    <w:p>
      <w:pPr>
        <w:numPr>
          <w:ilvl w:val="0"/>
          <w:numId w:val="1001"/>
        </w:numPr>
        <w:pStyle w:val="Compact"/>
      </w:pPr>
      <w:r>
        <w:t xml:space="preserve">The VAT (TVA) number and SIRET registration are verified and current. This Invoice is valid for a period of three (3) years from the date of issue under French fiscal regulations (Code général des impôts, Article L102 B).</w:t>
      </w:r>
    </w:p>
    <w:p>
      <w:pPr>
        <w:numPr>
          <w:ilvl w:val="0"/>
          <w:numId w:val="1001"/>
        </w:numPr>
        <w:pStyle w:val="Compact"/>
      </w:pPr>
      <w:r>
        <w:t xml:space="preserve">Any disputes regarding the amounts, hours, or service descriptions listed on this Invoice must be submitted in writing to the Direction des Ressources Humaines, 12 Boulevard Longchamp, 13001 Marseille, France, within fifteen (15) business days of receipt.</w:t>
      </w:r>
    </w:p>
    <w:p>
      <w:pPr>
        <w:numPr>
          <w:ilvl w:val="0"/>
          <w:numId w:val="1001"/>
        </w:numPr>
        <w:pStyle w:val="Compact"/>
      </w:pPr>
      <w:r>
        <w:t xml:space="preserve">This Invoice constitutes the final settlement for all Teacher Secondary services rendered during the 2024–2025 academic year. No additional charges will be levied beyond the amounts specified herein unless a formal amendment is issued and countersigned by both parties.</w:t>
      </w:r>
    </w:p>
    <w:p>
      <w:pPr>
        <w:numPr>
          <w:ilvl w:val="0"/>
          <w:numId w:val="1001"/>
        </w:numPr>
        <w:pStyle w:val="Compact"/>
      </w:pPr>
      <w:r>
        <w:t xml:space="preserve">For questions regarding this Invoice or the Teacher Secondary compensation structure in France Marseille, please contact the accounting department at comptabilite.marseille@ac-aix-marseille.fr or by telephone at +33 (0)4 91 03 40 12.</w:t>
      </w:r>
    </w:p>
    <w:bookmarkEnd w:id="24"/>
    <w:p>
      <w:pPr>
        <w:pStyle w:val="FirstParagraph"/>
      </w:pPr>
      <w:r>
        <w:rPr>
          <w:bCs/>
          <w:b/>
        </w:rPr>
        <w:t xml:space="preserve">INVOICE FR-MRS-2025-04872</w:t>
      </w:r>
      <w:r>
        <w:t xml:space="preserve"> </w:t>
      </w:r>
      <w:r>
        <w:t xml:space="preserve">— Teacher Secondary Services — France Marseille</w:t>
      </w:r>
    </w:p>
    <w:p>
      <w:pPr>
        <w:pStyle w:val="BodyText"/>
      </w:pPr>
      <w:r>
        <w:t xml:space="preserve">Académie d'Aix-Marseille | Direction des Ressources Humaines | 12 Boulevard Longchamp, 13001 Marseille, France</w:t>
      </w:r>
    </w:p>
    <w:p>
      <w:pPr>
        <w:pStyle w:val="BodyText"/>
      </w:pPr>
      <w:r>
        <w:t xml:space="preserve">This document is an official Invoice issued under French law. Unauthorized reproduction or alteration is prohibited.</w:t>
      </w:r>
    </w:p>
    <w:p>
      <w:pPr>
        <w:pStyle w:val="BodyText"/>
      </w:pPr>
      <w:r>
        <w:t xml:space="preserve">© 2025 Académie d'Aix-Marseille. All rights reserved. | Document generated on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France Marseille</dc:title>
  <dc:creator/>
  <dc:language>en</dc:language>
  <cp:keywords/>
  <dcterms:created xsi:type="dcterms:W3CDTF">2026-10-10T03:49:13Z</dcterms:created>
  <dcterms:modified xsi:type="dcterms:W3CDTF">2026-10-10T03:49:13Z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