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Secondary</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invoice"/>
    <w:p>
      <w:pPr>
        <w:pStyle w:val="Heading1"/>
      </w:pPr>
      <w:r>
        <w:t xml:space="preserve">INVOICE</w:t>
      </w:r>
    </w:p>
    <w:p>
      <w:pPr>
        <w:pStyle w:val="FirstParagraph"/>
      </w:pPr>
      <w:r>
        <w:t xml:space="preserve">Teacher Secondary Professional Services — Indonesia Jakarta</w:t>
      </w:r>
    </w:p>
    <w:p>
      <w:pPr>
        <w:pStyle w:val="BodyText"/>
      </w:pPr>
      <w:r>
        <w:t xml:space="preserve">Official Document</w:t>
      </w:r>
    </w:p>
    <w:bookmarkEnd w:id="20"/>
    <w:bookmarkStart w:id="21" w:name="sma-negeri-12-jakarta"/>
    <w:p>
      <w:pPr>
        <w:pStyle w:val="Heading3"/>
      </w:pPr>
      <w:r>
        <w:t xml:space="preserve">SMA Negeri 12 Jakarta</w:t>
      </w:r>
    </w:p>
    <w:p>
      <w:pPr>
        <w:pStyle w:val="FirstParagraph"/>
      </w:pPr>
      <w:r>
        <w:t xml:space="preserve">Jl. Pendidikan Utama No. 45</w:t>
      </w:r>
      <w:r>
        <w:br/>
      </w:r>
      <w:r>
        <w:t xml:space="preserve">Kemang, Jakarta Selatan</w:t>
      </w:r>
      <w:r>
        <w:br/>
      </w:r>
      <w:r>
        <w:t xml:space="preserve">Indonesia Jakarta 12730</w:t>
      </w:r>
      <w:r>
        <w:br/>
      </w:r>
      <w:r>
        <w:t xml:space="preserve">Telp: +62-21-720-4589</w:t>
      </w:r>
      <w:r>
        <w:br/>
      </w:r>
      <w:r>
        <w:t xml:space="preserve">Email: finance@smn12jakarta.sch.id</w:t>
      </w:r>
    </w:p>
    <w:bookmarkEnd w:id="21"/>
    <w:bookmarkStart w:id="22" w:name="invoice-details"/>
    <w:p>
      <w:pPr>
        <w:pStyle w:val="Heading4"/>
      </w:pPr>
      <w:r>
        <w:t xml:space="preserve">Invoice Details</w:t>
      </w:r>
    </w:p>
    <w:p>
      <w:pPr>
        <w:pStyle w:val="FirstParagraph"/>
      </w:pPr>
      <w:r>
        <w:t xml:space="preserve">Invoice Number:</w:t>
      </w:r>
      <w:r>
        <w:t xml:space="preserve"> </w:t>
      </w:r>
      <w:r>
        <w:t xml:space="preserve">INV-JKT-2025-00847</w:t>
      </w:r>
    </w:p>
    <w:p>
      <w:pPr>
        <w:pStyle w:val="BodyText"/>
      </w:pPr>
      <w:r>
        <w:t xml:space="preserve">Invoice Date:</w:t>
      </w:r>
      <w:r>
        <w:t xml:space="preserve"> </w:t>
      </w:r>
      <w:r>
        <w:t xml:space="preserve">15 June 2025</w:t>
      </w:r>
    </w:p>
    <w:p>
      <w:pPr>
        <w:pStyle w:val="BodyText"/>
      </w:pPr>
      <w:r>
        <w:t xml:space="preserve">Due Date:</w:t>
      </w:r>
      <w:r>
        <w:t xml:space="preserve"> </w:t>
      </w:r>
      <w:r>
        <w:t xml:space="preserve">30 June 2025</w:t>
      </w:r>
    </w:p>
    <w:p>
      <w:pPr>
        <w:pStyle w:val="BodyText"/>
      </w:pPr>
      <w:r>
        <w:t xml:space="preserve">Currency:</w:t>
      </w:r>
      <w:r>
        <w:t xml:space="preserve"> </w:t>
      </w:r>
      <w:r>
        <w:t xml:space="preserve">Indonesian Rupiah (IDR)</w:t>
      </w:r>
    </w:p>
    <w:bookmarkEnd w:id="22"/>
    <w:bookmarkStart w:id="23" w:name="bill-to"/>
    <w:p>
      <w:pPr>
        <w:pStyle w:val="Heading4"/>
      </w:pPr>
      <w:r>
        <w:t xml:space="preserve">Bill To</w:t>
      </w:r>
    </w:p>
    <w:p>
      <w:pPr>
        <w:pStyle w:val="FirstParagraph"/>
      </w:pPr>
      <w:r>
        <w:t xml:space="preserve">Budi Santoso, S.Pd., M.Pd.</w:t>
      </w:r>
    </w:p>
    <w:p>
      <w:pPr>
        <w:pStyle w:val="BodyText"/>
      </w:pPr>
      <w:r>
        <w:t xml:space="preserve">Teacher Secondary — Mathematics Department</w:t>
      </w:r>
    </w:p>
    <w:p>
      <w:pPr>
        <w:pStyle w:val="BodyText"/>
      </w:pPr>
      <w:r>
        <w:t xml:space="preserve">SMA Negeri 12 Jakarta</w:t>
      </w:r>
    </w:p>
    <w:p>
      <w:pPr>
        <w:pStyle w:val="BodyText"/>
      </w:pPr>
      <w:r>
        <w:t xml:space="preserve">Indonesia Jakarta 12730</w:t>
      </w:r>
    </w:p>
    <w:p>
      <w:pPr>
        <w:pStyle w:val="BodyText"/>
      </w:pPr>
      <w:r>
        <w:t xml:space="preserve">NPWP: 09.254.781.0-431.000</w:t>
      </w:r>
    </w:p>
    <w:bookmarkEnd w:id="23"/>
    <w:bookmarkStart w:id="24" w:name="bill-from"/>
    <w:p>
      <w:pPr>
        <w:pStyle w:val="Heading4"/>
      </w:pPr>
      <w:r>
        <w:t xml:space="preserve">Bill From</w:t>
      </w:r>
    </w:p>
    <w:p>
      <w:pPr>
        <w:pStyle w:val="FirstParagraph"/>
      </w:pPr>
      <w:r>
        <w:t xml:space="preserve">Finance Department</w:t>
      </w:r>
    </w:p>
    <w:p>
      <w:pPr>
        <w:pStyle w:val="BodyText"/>
      </w:pPr>
      <w:r>
        <w:t xml:space="preserve">SMA Negeri 12 Jakarta</w:t>
      </w:r>
    </w:p>
    <w:p>
      <w:pPr>
        <w:pStyle w:val="BodyText"/>
      </w:pPr>
      <w:r>
        <w:t xml:space="preserve">Indonesia Jakarta</w:t>
      </w:r>
    </w:p>
    <w:p>
      <w:pPr>
        <w:pStyle w:val="BodyText"/>
      </w:pPr>
      <w:r>
        <w:t xml:space="preserve">Attn: Ibu Ratna Wulandari</w:t>
      </w:r>
    </w:p>
    <w:p>
      <w:pPr>
        <w:pStyle w:val="BodyText"/>
      </w:pPr>
      <w:r>
        <w:t xml:space="preserve">Head of Finance &amp; Administration</w:t>
      </w:r>
    </w:p>
    <w:bookmarkEnd w:id="24"/>
    <w:p>
      <w:pPr>
        <w:pStyle w:val="BodyText"/>
      </w:pPr>
      <w:r>
        <w:t xml:space="preserve">This Invoice is issued in accordance with the employment and compensation agreement between SMA Negeri 12 Jakarta and the designated Teacher Secondary for the academic year 2024/2025. The following line items detail the professional services rendered by the Teacher Secondary in the capacity of a full-time secondary school educator within the Indonesia Jakarta education district. All charges are subject to the applicable Indonesian tax regulations as governed by the Directorate General of Taxes (Ditjen Pajak).</w:t>
      </w:r>
    </w:p>
    <w:bookmarkStart w:id="27" w:name="Xff978bc6305b9ff32dcae777396475704177dd0"/>
    <w:p>
      <w:pPr>
        <w:pStyle w:val="Heading3"/>
      </w:pPr>
      <w:r>
        <w:t xml:space="preserve">Invoice Line Items — Teacher Secondary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Period</w:t>
            </w:r>
          </w:p>
        </w:tc>
        <w:tc>
          <w:tcPr/>
          <w:p>
            <w:pPr>
              <w:pStyle w:val="Compact"/>
              <w:jc w:val="left"/>
            </w:pPr>
            <w:r>
              <w:t xml:space="preserve">Qty</w:t>
            </w:r>
          </w:p>
        </w:tc>
        <w:tc>
          <w:tcPr/>
          <w:p>
            <w:pPr>
              <w:pStyle w:val="Compact"/>
              <w:jc w:val="left"/>
            </w:pPr>
            <w:r>
              <w:t xml:space="preserve">Unit Rate (IDR)</w:t>
            </w:r>
          </w:p>
        </w:tc>
        <w:tc>
          <w:tcPr/>
          <w:p>
            <w:pPr>
              <w:pStyle w:val="Compact"/>
              <w:jc w:val="left"/>
            </w:pPr>
            <w:r>
              <w:t xml:space="preserve">Amount (IDR)</w:t>
            </w:r>
          </w:p>
        </w:tc>
      </w:tr>
      <w:tr>
        <w:tc>
          <w:tcPr/>
          <w:p>
            <w:pPr>
              <w:pStyle w:val="Compact"/>
              <w:jc w:val="left"/>
            </w:pPr>
            <w:r>
              <w:t xml:space="preserve">1</w:t>
            </w:r>
          </w:p>
        </w:tc>
        <w:tc>
          <w:tcPr/>
          <w:p>
            <w:pPr>
              <w:pStyle w:val="Compact"/>
              <w:jc w:val="left"/>
            </w:pPr>
            <w:r>
              <w:t xml:space="preserve">Base Monthly Salary — Teacher Secondary (Mathematics), Grade 11 &amp; 12 Classes</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2</w:t>
            </w:r>
          </w:p>
        </w:tc>
        <w:tc>
          <w:tcPr/>
          <w:p>
            <w:pPr>
              <w:pStyle w:val="Compact"/>
              <w:jc w:val="left"/>
            </w:pPr>
            <w:r>
              <w:t xml:space="preserve">Excess Teaching Hours Compensation — Teacher Secondary (12 additional periods beyond standard 24 periods)</w:t>
            </w:r>
          </w:p>
        </w:tc>
        <w:tc>
          <w:tcPr/>
          <w:p>
            <w:pPr>
              <w:pStyle w:val="Compact"/>
              <w:jc w:val="left"/>
            </w:pPr>
            <w:r>
              <w:t xml:space="preserve">Jun 2025</w:t>
            </w:r>
          </w:p>
        </w:tc>
        <w:tc>
          <w:tcPr/>
          <w:p>
            <w:pPr>
              <w:pStyle w:val="Compact"/>
              <w:jc w:val="left"/>
            </w:pPr>
            <w:r>
              <w:t xml:space="preserve">12</w:t>
            </w:r>
          </w:p>
        </w:tc>
        <w:tc>
          <w:tcPr/>
          <w:p>
            <w:pPr>
              <w:pStyle w:val="Compact"/>
              <w:jc w:val="left"/>
            </w:pPr>
            <w:r>
              <w:t xml:space="preserve">175,000</w:t>
            </w:r>
          </w:p>
        </w:tc>
        <w:tc>
          <w:tcPr/>
          <w:p>
            <w:pPr>
              <w:pStyle w:val="Compact"/>
              <w:jc w:val="left"/>
            </w:pPr>
            <w:r>
              <w:t xml:space="preserve">2,100,000</w:t>
            </w:r>
          </w:p>
        </w:tc>
      </w:tr>
      <w:tr>
        <w:tc>
          <w:tcPr/>
          <w:p>
            <w:pPr>
              <w:pStyle w:val="Compact"/>
              <w:jc w:val="left"/>
            </w:pPr>
            <w:r>
              <w:t xml:space="preserve">3</w:t>
            </w:r>
          </w:p>
        </w:tc>
        <w:tc>
          <w:tcPr/>
          <w:p>
            <w:pPr>
              <w:pStyle w:val="Compact"/>
              <w:jc w:val="left"/>
            </w:pPr>
            <w:r>
              <w:t xml:space="preserve">Examination Supervision &amp; Grading Allowance — Teacher Secondary, Mid-Semester Assessment (Indonesia Jakarta District Exam)</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4</w:t>
            </w:r>
          </w:p>
        </w:tc>
        <w:tc>
          <w:tcPr/>
          <w:p>
            <w:pPr>
              <w:pStyle w:val="Compact"/>
              <w:jc w:val="left"/>
            </w:pPr>
            <w:r>
              <w:t xml:space="preserve">Professional Development &amp; Training Stipend — Teacher Secondary Workshop on Kurikulum Merdeka (Indonesia Jakarta Education Board)</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5</w:t>
            </w:r>
          </w:p>
        </w:tc>
        <w:tc>
          <w:tcPr/>
          <w:p>
            <w:pPr>
              <w:pStyle w:val="Compact"/>
              <w:jc w:val="left"/>
            </w:pPr>
            <w:r>
              <w:t xml:space="preserve">Extracurricular Supervision — Teacher Secondary (Math Olympiad Club, 4 sessions)</w:t>
            </w:r>
          </w:p>
        </w:tc>
        <w:tc>
          <w:tcPr/>
          <w:p>
            <w:pPr>
              <w:pStyle w:val="Compact"/>
              <w:jc w:val="left"/>
            </w:pPr>
            <w:r>
              <w:t xml:space="preserve">Jun 2025</w:t>
            </w:r>
          </w:p>
        </w:tc>
        <w:tc>
          <w:tcPr/>
          <w:p>
            <w:pPr>
              <w:pStyle w:val="Compact"/>
              <w:jc w:val="left"/>
            </w:pPr>
            <w:r>
              <w:t xml:space="preserve">4</w:t>
            </w:r>
          </w:p>
        </w:tc>
        <w:tc>
          <w:tcPr/>
          <w:p>
            <w:pPr>
              <w:pStyle w:val="Compact"/>
              <w:jc w:val="left"/>
            </w:pPr>
            <w:r>
              <w:t xml:space="preserve">250,000</w:t>
            </w:r>
          </w:p>
        </w:tc>
        <w:tc>
          <w:tcPr/>
          <w:p>
            <w:pPr>
              <w:pStyle w:val="Compact"/>
              <w:jc w:val="left"/>
            </w:pPr>
            <w:r>
              <w:t xml:space="preserve">1,000,000</w:t>
            </w:r>
          </w:p>
        </w:tc>
      </w:tr>
      <w:tr>
        <w:tc>
          <w:tcPr/>
          <w:p>
            <w:pPr>
              <w:pStyle w:val="Compact"/>
              <w:jc w:val="left"/>
            </w:pPr>
            <w:r>
              <w:t xml:space="preserve">6</w:t>
            </w:r>
          </w:p>
        </w:tc>
        <w:tc>
          <w:tcPr/>
          <w:p>
            <w:pPr>
              <w:pStyle w:val="Compact"/>
              <w:jc w:val="left"/>
            </w:pPr>
            <w:r>
              <w:t xml:space="preserve">Transportation &amp; Attendance Allowance — Teacher Secondary, Indonesia Jakarta Commuter Zone</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7</w:t>
            </w:r>
          </w:p>
        </w:tc>
        <w:tc>
          <w:tcPr/>
          <w:p>
            <w:pPr>
              <w:pStyle w:val="Compact"/>
              <w:jc w:val="left"/>
            </w:pPr>
            <w:r>
              <w:t xml:space="preserve">Performance Bonus — Teacher Secondary (Student Achievement Index above 85%, Indonesia Jakarta Ranking)</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15,550,000</w:t>
            </w:r>
          </w:p>
        </w:tc>
      </w:tr>
      <w:tr>
        <w:tc>
          <w:tcPr/>
          <w:p>
            <w:pPr>
              <w:pStyle w:val="Compact"/>
              <w:jc w:val="left"/>
            </w:pPr>
            <w:r>
              <w:t xml:space="preserve">PPN (VAT) 11% — Indonesia Jakarta Tax Regulation</w:t>
            </w:r>
          </w:p>
        </w:tc>
        <w:tc>
          <w:tcPr/>
          <w:p>
            <w:pPr>
              <w:pStyle w:val="Compact"/>
              <w:jc w:val="left"/>
            </w:pPr>
            <w:r>
              <w:t xml:space="preserve">1,710,500</w:t>
            </w:r>
          </w:p>
        </w:tc>
      </w:tr>
      <w:tr>
        <w:tc>
          <w:tcPr/>
          <w:p>
            <w:pPr>
              <w:pStyle w:val="Compact"/>
              <w:jc w:val="left"/>
            </w:pPr>
            <w:r>
              <w:t xml:space="preserve">Withholding Tax (PPh 21) Deduction</w:t>
            </w:r>
          </w:p>
        </w:tc>
        <w:tc>
          <w:tcPr/>
          <w:p>
            <w:pPr>
              <w:pStyle w:val="Compact"/>
              <w:jc w:val="left"/>
            </w:pPr>
            <w:r>
              <w:t xml:space="preserve">(1,244,000)</w:t>
            </w:r>
          </w:p>
        </w:tc>
      </w:tr>
      <w:tr>
        <w:tc>
          <w:tcPr/>
          <w:p>
            <w:pPr>
              <w:pStyle w:val="Compact"/>
              <w:jc w:val="left"/>
            </w:pPr>
            <w:r>
              <w:t xml:space="preserve">Net Payable Amount</w:t>
            </w:r>
          </w:p>
        </w:tc>
        <w:tc>
          <w:tcPr/>
          <w:p>
            <w:pPr>
              <w:pStyle w:val="Compact"/>
              <w:jc w:val="left"/>
            </w:pPr>
            <w:r>
              <w:t xml:space="preserve">16,016,500</w:t>
            </w:r>
          </w:p>
        </w:tc>
      </w:tr>
    </w:tbl>
    <w:bookmarkStart w:id="25" w:name="payment-instructions-invoice-settlement"/>
    <w:p>
      <w:pPr>
        <w:pStyle w:val="Heading4"/>
      </w:pPr>
      <w:r>
        <w:t xml:space="preserve">Payment Instructions — Invoice Settlement</w:t>
      </w:r>
    </w:p>
    <w:p>
      <w:pPr>
        <w:pStyle w:val="FirstParagraph"/>
      </w:pPr>
      <w:r>
        <w:rPr>
          <w:bCs/>
          <w:b/>
        </w:rPr>
        <w:t xml:space="preserve">Bank:</w:t>
      </w:r>
      <w:r>
        <w:t xml:space="preserve"> </w:t>
      </w:r>
      <w:r>
        <w:t xml:space="preserve">Bank Central Asia (BCA)</w:t>
      </w:r>
    </w:p>
    <w:p>
      <w:pPr>
        <w:pStyle w:val="BodyText"/>
      </w:pPr>
      <w:r>
        <w:rPr>
          <w:bCs/>
          <w:b/>
        </w:rPr>
        <w:t xml:space="preserve">Account Name:</w:t>
      </w:r>
      <w:r>
        <w:t xml:space="preserve"> </w:t>
      </w:r>
      <w:r>
        <w:t xml:space="preserve">Budi Santoso, S.Pd., M.Pd. (Teacher Secondary)</w:t>
      </w:r>
    </w:p>
    <w:p>
      <w:pPr>
        <w:pStyle w:val="BodyText"/>
      </w:pPr>
      <w:r>
        <w:rPr>
          <w:bCs/>
          <w:b/>
        </w:rPr>
        <w:t xml:space="preserve">Account Number:</w:t>
      </w:r>
      <w:r>
        <w:t xml:space="preserve"> </w:t>
      </w:r>
      <w:r>
        <w:t xml:space="preserve">5120-8834-567-1</w:t>
      </w:r>
    </w:p>
    <w:p>
      <w:pPr>
        <w:pStyle w:val="BodyText"/>
      </w:pPr>
      <w:r>
        <w:rPr>
          <w:bCs/>
          <w:b/>
        </w:rPr>
        <w:t xml:space="preserve">Branch:</w:t>
      </w:r>
      <w:r>
        <w:t xml:space="preserve"> </w:t>
      </w:r>
      <w:r>
        <w:t xml:space="preserve">Jakarta Kemang, Indonesia Jakarta</w:t>
      </w:r>
    </w:p>
    <w:p>
      <w:pPr>
        <w:pStyle w:val="BodyText"/>
      </w:pPr>
      <w:r>
        <w:rPr>
          <w:bCs/>
          <w:b/>
        </w:rPr>
        <w:t xml:space="preserve">Reference:</w:t>
      </w:r>
      <w:r>
        <w:t xml:space="preserve"> </w:t>
      </w:r>
      <w:r>
        <w:t xml:space="preserve">INV-JKT-2025-00847</w:t>
      </w:r>
    </w:p>
    <w:p>
      <w:pPr>
        <w:pStyle w:val="BodyText"/>
      </w:pPr>
      <w:r>
        <w:rPr>
          <w:bCs/>
          <w:b/>
        </w:rPr>
        <w:t xml:space="preserve">Payment Method:</w:t>
      </w:r>
      <w:r>
        <w:t xml:space="preserve"> </w:t>
      </w:r>
      <w:r>
        <w:t xml:space="preserve">Bank Transfer (Transfer Bank) — Please ensure the Invoice reference number is included in the transfer memo for proper reconciliation by the Finance Department.</w:t>
      </w:r>
    </w:p>
    <w:p>
      <w:pPr>
        <w:pStyle w:val="BodyText"/>
      </w:pPr>
      <w:r>
        <w:rPr>
          <w:bCs/>
          <w:b/>
        </w:rPr>
        <w:t xml:space="preserve">Payment Deadline:</w:t>
      </w:r>
      <w:r>
        <w:t xml:space="preserve"> </w:t>
      </w:r>
      <w:r>
        <w:t xml:space="preserve">This Invoice must be settled no later than 30 June 2025. Late payments are subject to a penalty of 2% per month as per the Indonesia Jakarta public education compensation policy.</w:t>
      </w:r>
    </w:p>
    <w:bookmarkEnd w:id="25"/>
    <w:bookmarkStart w:id="26" w:name="important-notes-regarding-this-invoice"/>
    <w:p>
      <w:pPr>
        <w:pStyle w:val="Heading4"/>
      </w:pPr>
      <w:r>
        <w:t xml:space="preserve">Important Notes Regarding This Invoice</w:t>
      </w:r>
    </w:p>
    <w:p>
      <w:pPr>
        <w:pStyle w:val="FirstParagraph"/>
      </w:pPr>
      <w:r>
        <w:t xml:space="preserve">1. This Invoice is valid only for the Teacher Secondary named above and is non-transferable. Any discrepancy in the Teacher Secondary's name or NPWP number will result in the Invoice being voided.</w:t>
      </w:r>
    </w:p>
    <w:p>
      <w:pPr>
        <w:pStyle w:val="BodyText"/>
      </w:pPr>
      <w:r>
        <w:t xml:space="preserve">2. All amounts listed in this Invoice are calculated in Indonesian Rupiah (IDR) and are subject to the prevailing tax rates in Indonesia Jakarta as of the Invoice date. The PPN (11%) and PPh 21 deductions are applied in compliance with the Directorate General of Taxes regulations.</w:t>
      </w:r>
    </w:p>
    <w:p>
      <w:pPr>
        <w:pStyle w:val="BodyText"/>
      </w:pPr>
      <w:r>
        <w:t xml:space="preserve">3. The Teacher Secondary is required to submit this Invoice along with the signed attendance sheet and class schedule verification from the Head of the Mathematics Department before processing.</w:t>
      </w:r>
    </w:p>
    <w:p>
      <w:pPr>
        <w:pStyle w:val="BodyText"/>
      </w:pPr>
      <w:r>
        <w:t xml:space="preserve">4. Questions or disputes regarding this Invoice must be directed to the Finance Department of SMA Negeri 12 Jakarta, Indonesia Jakarta, within 7 (seven) business days of the Invoice date. After this period, the Invoice is considered accepted in full.</w:t>
      </w:r>
    </w:p>
    <w:p>
      <w:pPr>
        <w:pStyle w:val="BodyText"/>
      </w:pPr>
      <w:r>
        <w:t xml:space="preserve">5. This Invoice constitutes an official financial record of the Teacher Secondary's compensation for the period specified and may be referenced for annual tax filing (SPT Tahunan) in Indonesia Jakarta.</w:t>
      </w:r>
    </w:p>
    <w:bookmarkEnd w:id="26"/>
    <w:p>
      <w:pPr>
        <w:pStyle w:val="BodyText"/>
      </w:pPr>
      <w:r>
        <w:rPr>
          <w:bCs/>
          <w:b/>
        </w:rPr>
        <w:t xml:space="preserve">INVOICE</w:t>
      </w:r>
      <w:r>
        <w:t xml:space="preserve"> </w:t>
      </w:r>
      <w:r>
        <w:t xml:space="preserve">— Teacher Secondary Compensation Document — Indonesia Jakarta</w:t>
      </w:r>
    </w:p>
    <w:p>
      <w:pPr>
        <w:pStyle w:val="BodyText"/>
      </w:pPr>
      <w:r>
        <w:t xml:space="preserve">SMA Negeri 12 Jakarta • Jl. Pendidikan Utama No. 45, Kemang, Jakarta Selatan, Indonesia Jakarta 12730</w:t>
      </w:r>
    </w:p>
    <w:p>
      <w:pPr>
        <w:pStyle w:val="BodyText"/>
      </w:pPr>
      <w:r>
        <w:t xml:space="preserve">NPWP Institution: 02.456.789.0-431.000 • Telp: +62-21-720-4589 • finance@smn12jakarta.sch.id</w:t>
      </w:r>
    </w:p>
    <w:p>
      <w:pPr>
        <w:pStyle w:val="BodyText"/>
      </w:pPr>
      <w:r>
        <w:t xml:space="preserve">This Invoice was generated electronically on 15 June 2025. For authentication, please verify the Invoice number INV-JKT-2025-00847 with the Finance Department. Unauthorized reproduction of this Invoice is prohibited under Indonesian law.</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Secondary Services - Indonesia Jakarta</dc:title>
  <dc:creator/>
  <dc:language>en</dc:language>
  <cp:keywords/>
  <dcterms:created xsi:type="dcterms:W3CDTF">2026-10-10T08:38:28Z</dcterms:created>
  <dcterms:modified xsi:type="dcterms:W3CDTF">2026-10-10T08:38:28Z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