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tel-aviv-secondary-education-center"/>
    <w:p>
      <w:pPr>
        <w:pStyle w:val="Heading1"/>
      </w:pPr>
      <w:r>
        <w:t xml:space="preserve">Tel Aviv Secondary Education Center</w:t>
      </w:r>
    </w:p>
    <w:p>
      <w:pPr>
        <w:pStyle w:val="FirstParagraph"/>
      </w:pPr>
      <w:r>
        <w:t xml:space="preserve">145 Allenby Street, Tel Aviv-Yafo, Israel 6610100</w:t>
      </w:r>
    </w:p>
    <w:p>
      <w:pPr>
        <w:pStyle w:val="BodyText"/>
      </w:pPr>
      <w:r>
        <w:t xml:space="preserve">Phone: +972-3-621-4580 | Email: finance@tavsec-edu.co.il</w:t>
      </w:r>
    </w:p>
    <w:p>
      <w:pPr>
        <w:pStyle w:val="BodyText"/>
      </w:pPr>
      <w:r>
        <w:t xml:space="preserve">VAT Registration: 51-804-332-17</w:t>
      </w:r>
    </w:p>
    <w:p>
      <w:pPr>
        <w:pStyle w:val="BodyText"/>
      </w:pPr>
      <w:r>
        <w:t xml:space="preserve">Ministry of Education License No. IL-SEC-2019-0447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IL-TAV-2025-0847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Academic Year:</w:t>
      </w:r>
      <w:r>
        <w:t xml:space="preserve"> </w:t>
      </w:r>
      <w:r>
        <w:t xml:space="preserve">2024/2025</w:t>
      </w:r>
    </w:p>
    <w:p>
      <w:pPr>
        <w:pStyle w:val="BodyText"/>
      </w:pPr>
      <w:r>
        <w:t xml:space="preserve">Teacher Secondary Services</w:t>
      </w:r>
    </w:p>
    <w:bookmarkEnd w:id="21"/>
    <w:bookmarkStart w:id="22" w:name="billed-to"/>
    <w:p>
      <w:pPr>
        <w:pStyle w:val="Heading3"/>
      </w:pPr>
      <w:r>
        <w:t xml:space="preserve">Billed To</w:t>
      </w:r>
    </w:p>
    <w:p>
      <w:pPr>
        <w:pStyle w:val="FirstParagraph"/>
      </w:pPr>
      <w:r>
        <w:rPr>
          <w:bCs/>
          <w:b/>
        </w:rPr>
        <w:t xml:space="preserve">Parent/Guardian:</w:t>
      </w:r>
      <w:r>
        <w:t xml:space="preserve"> </w:t>
      </w:r>
      <w:r>
        <w:t xml:space="preserve">Mr. David Ben-Ari</w:t>
      </w:r>
    </w:p>
    <w:p>
      <w:pPr>
        <w:pStyle w:val="BodyText"/>
      </w:pPr>
      <w:r>
        <w:rPr>
          <w:bCs/>
          <w:b/>
        </w:rPr>
        <w:t xml:space="preserve">Student:</w:t>
      </w:r>
      <w:r>
        <w:t xml:space="preserve"> </w:t>
      </w:r>
      <w:r>
        <w:t xml:space="preserve">Noa Ben-Ari (Grade 10)</w:t>
      </w:r>
    </w:p>
    <w:p>
      <w:pPr>
        <w:pStyle w:val="BodyText"/>
      </w:pPr>
      <w:r>
        <w:rPr>
          <w:bCs/>
          <w:b/>
        </w:rPr>
        <w:t xml:space="preserve">Address:</w:t>
      </w:r>
      <w:r>
        <w:t xml:space="preserve"> </w:t>
      </w:r>
      <w:r>
        <w:t xml:space="preserve">22 Rothschild Boulevard, Tel Aviv-Yafo, Israel 6670300</w:t>
      </w:r>
    </w:p>
    <w:p>
      <w:pPr>
        <w:pStyle w:val="BodyText"/>
      </w:pPr>
      <w:r>
        <w:rPr>
          <w:bCs/>
          <w:b/>
        </w:rPr>
        <w:t xml:space="preserve">Phone:</w:t>
      </w:r>
      <w:r>
        <w:t xml:space="preserve"> </w:t>
      </w:r>
      <w:r>
        <w:t xml:space="preserve">+972-52-774-9912</w:t>
      </w:r>
    </w:p>
    <w:p>
      <w:pPr>
        <w:pStyle w:val="BodyText"/>
      </w:pPr>
      <w:r>
        <w:rPr>
          <w:bCs/>
          <w:b/>
        </w:rPr>
        <w:t xml:space="preserve">Email:</w:t>
      </w:r>
      <w:r>
        <w:t xml:space="preserve"> </w:t>
      </w:r>
      <w:r>
        <w:t xml:space="preserve">d.benari@email.co.il</w:t>
      </w:r>
    </w:p>
    <w:bookmarkEnd w:id="22"/>
    <w:bookmarkStart w:id="23" w:name="service-provider"/>
    <w:p>
      <w:pPr>
        <w:pStyle w:val="Heading3"/>
      </w:pPr>
      <w:r>
        <w:t xml:space="preserve">Service Provider</w:t>
      </w:r>
    </w:p>
    <w:p>
      <w:pPr>
        <w:pStyle w:val="FirstParagraph"/>
      </w:pPr>
      <w:r>
        <w:rPr>
          <w:bCs/>
          <w:b/>
        </w:rPr>
        <w:t xml:space="preserve">Institution:</w:t>
      </w:r>
      <w:r>
        <w:t xml:space="preserve"> </w:t>
      </w:r>
      <w:r>
        <w:t xml:space="preserve">Tel Aviv Secondary Education Center</w:t>
      </w:r>
    </w:p>
    <w:p>
      <w:pPr>
        <w:pStyle w:val="BodyText"/>
      </w:pPr>
      <w:r>
        <w:rPr>
          <w:bCs/>
          <w:b/>
        </w:rPr>
        <w:t xml:space="preserve">Department:</w:t>
      </w:r>
      <w:r>
        <w:t xml:space="preserve"> </w:t>
      </w:r>
      <w:r>
        <w:t xml:space="preserve">Secondary Education Division</w:t>
      </w:r>
    </w:p>
    <w:p>
      <w:pPr>
        <w:pStyle w:val="BodyText"/>
      </w:pPr>
      <w:r>
        <w:rPr>
          <w:bCs/>
          <w:b/>
        </w:rPr>
        <w:t xml:space="preserve">Teacher Secondary:</w:t>
      </w:r>
      <w:r>
        <w:t xml:space="preserve"> </w:t>
      </w:r>
      <w:r>
        <w:t xml:space="preserve">Ms. Rachel Goldstein, M.Ed.</w:t>
      </w:r>
    </w:p>
    <w:p>
      <w:pPr>
        <w:pStyle w:val="BodyText"/>
      </w:pPr>
      <w:r>
        <w:rPr>
          <w:bCs/>
          <w:b/>
        </w:rPr>
        <w:t xml:space="preserve">Specialization:</w:t>
      </w:r>
      <w:r>
        <w:t xml:space="preserve"> </w:t>
      </w:r>
      <w:r>
        <w:t xml:space="preserve">Mathematics &amp; Physics (Grades 9–12)</w:t>
      </w:r>
    </w:p>
    <w:p>
      <w:pPr>
        <w:pStyle w:val="BodyText"/>
      </w:pPr>
      <w:r>
        <w:rPr>
          <w:bCs/>
          <w:b/>
        </w:rPr>
        <w:t xml:space="preserve">License No.:</w:t>
      </w:r>
      <w:r>
        <w:t xml:space="preserve"> </w:t>
      </w:r>
      <w:r>
        <w:t xml:space="preserve">IL-TEACH-2016-8834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Teacher Secondary – Regular Mathematics Instruction (Grade 10, 5 units)</w:t>
            </w:r>
          </w:p>
        </w:tc>
        <w:tc>
          <w:tcPr/>
          <w:p>
            <w:pPr>
              <w:pStyle w:val="Compact"/>
              <w:jc w:val="left"/>
            </w:pPr>
            <w:r>
              <w:t xml:space="preserve">Sep 2024 – Jun 2025</w:t>
            </w:r>
          </w:p>
        </w:tc>
        <w:tc>
          <w:tcPr/>
          <w:p>
            <w:pPr>
              <w:pStyle w:val="Compact"/>
              <w:jc w:val="left"/>
            </w:pPr>
            <w:r>
              <w:t xml:space="preserve">180</w:t>
            </w:r>
          </w:p>
        </w:tc>
        <w:tc>
          <w:tcPr/>
          <w:p>
            <w:pPr>
              <w:pStyle w:val="Compact"/>
              <w:jc w:val="left"/>
            </w:pPr>
            <w:r>
              <w:t xml:space="preserve">145.00</w:t>
            </w:r>
          </w:p>
        </w:tc>
        <w:tc>
          <w:tcPr/>
          <w:p>
            <w:pPr>
              <w:pStyle w:val="Compact"/>
              <w:jc w:val="left"/>
            </w:pPr>
            <w:r>
              <w:t xml:space="preserve">26,100.00</w:t>
            </w:r>
          </w:p>
        </w:tc>
      </w:tr>
      <w:tr>
        <w:tc>
          <w:tcPr/>
          <w:p>
            <w:pPr>
              <w:pStyle w:val="Compact"/>
              <w:jc w:val="left"/>
            </w:pPr>
            <w:r>
              <w:t xml:space="preserve">2</w:t>
            </w:r>
          </w:p>
        </w:tc>
        <w:tc>
          <w:tcPr/>
          <w:p>
            <w:pPr>
              <w:pStyle w:val="Compact"/>
              <w:jc w:val="left"/>
            </w:pPr>
            <w:r>
              <w:t xml:space="preserve">Teacher Secondary – Physics Laboratory Sessions (Practical Component)</w:t>
            </w:r>
          </w:p>
        </w:tc>
        <w:tc>
          <w:tcPr/>
          <w:p>
            <w:pPr>
              <w:pStyle w:val="Compact"/>
              <w:jc w:val="left"/>
            </w:pPr>
            <w:r>
              <w:t xml:space="preserve">Sep 2024 – Jun 2025</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3</w:t>
            </w:r>
          </w:p>
        </w:tc>
        <w:tc>
          <w:tcPr/>
          <w:p>
            <w:pPr>
              <w:pStyle w:val="Compact"/>
              <w:jc w:val="left"/>
            </w:pPr>
            <w:r>
              <w:t xml:space="preserve">Teacher Secondary – Individual Tutoring &amp; Remedial Support (Bi-weekly)</w:t>
            </w:r>
          </w:p>
        </w:tc>
        <w:tc>
          <w:tcPr/>
          <w:p>
            <w:pPr>
              <w:pStyle w:val="Compact"/>
              <w:jc w:val="left"/>
            </w:pPr>
            <w:r>
              <w:t xml:space="preserve">Oct 2024 – May 2025</w:t>
            </w:r>
          </w:p>
        </w:tc>
        <w:tc>
          <w:tcPr/>
          <w:p>
            <w:pPr>
              <w:pStyle w:val="Compact"/>
              <w:jc w:val="left"/>
            </w:pPr>
            <w:r>
              <w:t xml:space="preserve">24</w:t>
            </w:r>
          </w:p>
        </w:tc>
        <w:tc>
          <w:tcPr/>
          <w:p>
            <w:pPr>
              <w:pStyle w:val="Compact"/>
              <w:jc w:val="left"/>
            </w:pPr>
            <w:r>
              <w:t xml:space="preserve">220.00</w:t>
            </w:r>
          </w:p>
        </w:tc>
        <w:tc>
          <w:tcPr/>
          <w:p>
            <w:pPr>
              <w:pStyle w:val="Compact"/>
              <w:jc w:val="left"/>
            </w:pPr>
            <w:r>
              <w:t xml:space="preserve">5,280.00</w:t>
            </w:r>
          </w:p>
        </w:tc>
      </w:tr>
      <w:tr>
        <w:tc>
          <w:tcPr/>
          <w:p>
            <w:pPr>
              <w:pStyle w:val="Compact"/>
              <w:jc w:val="left"/>
            </w:pPr>
            <w:r>
              <w:t xml:space="preserve">4</w:t>
            </w:r>
          </w:p>
        </w:tc>
        <w:tc>
          <w:tcPr/>
          <w:p>
            <w:pPr>
              <w:pStyle w:val="Compact"/>
              <w:jc w:val="left"/>
            </w:pPr>
            <w:r>
              <w:t xml:space="preserve">Teacher Secondary – Bagrut Examination Preparation (Math &amp; Physics)</w:t>
            </w:r>
          </w:p>
        </w:tc>
        <w:tc>
          <w:tcPr/>
          <w:p>
            <w:pPr>
              <w:pStyle w:val="Compact"/>
              <w:jc w:val="left"/>
            </w:pPr>
            <w:r>
              <w:t xml:space="preserve">Mar 2025 – Jun 2025</w:t>
            </w:r>
          </w:p>
        </w:tc>
        <w:tc>
          <w:tcPr/>
          <w:p>
            <w:pPr>
              <w:pStyle w:val="Compact"/>
              <w:jc w:val="left"/>
            </w:pPr>
            <w:r>
              <w:t xml:space="preserve">36</w:t>
            </w:r>
          </w:p>
        </w:tc>
        <w:tc>
          <w:tcPr/>
          <w:p>
            <w:pPr>
              <w:pStyle w:val="Compact"/>
              <w:jc w:val="left"/>
            </w:pPr>
            <w:r>
              <w:t xml:space="preserve">195.00</w:t>
            </w:r>
          </w:p>
        </w:tc>
        <w:tc>
          <w:tcPr/>
          <w:p>
            <w:pPr>
              <w:pStyle w:val="Compact"/>
              <w:jc w:val="left"/>
            </w:pPr>
            <w:r>
              <w:t xml:space="preserve">7,020.00</w:t>
            </w:r>
          </w:p>
        </w:tc>
      </w:tr>
      <w:tr>
        <w:tc>
          <w:tcPr/>
          <w:p>
            <w:pPr>
              <w:pStyle w:val="Compact"/>
              <w:jc w:val="left"/>
            </w:pPr>
            <w:r>
              <w:t xml:space="preserve">5</w:t>
            </w:r>
          </w:p>
        </w:tc>
        <w:tc>
          <w:tcPr/>
          <w:p>
            <w:pPr>
              <w:pStyle w:val="Compact"/>
              <w:jc w:val="left"/>
            </w:pPr>
            <w:r>
              <w:t xml:space="preserve">Teacher Secondary – Parent-Teacher Conferences &amp; Progress Reporting</w:t>
            </w:r>
          </w:p>
        </w:tc>
        <w:tc>
          <w:tcPr/>
          <w:p>
            <w:pPr>
              <w:pStyle w:val="Compact"/>
              <w:jc w:val="left"/>
            </w:pPr>
            <w:r>
              <w:t xml:space="preserve">Quarterly (4 sessions)</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Teacher Secondary – Curriculum Development &amp; Assessment Design (Annual)</w:t>
            </w:r>
          </w:p>
        </w:tc>
        <w:tc>
          <w:tcPr/>
          <w:p>
            <w:pPr>
              <w:pStyle w:val="Compact"/>
              <w:jc w:val="left"/>
            </w:pPr>
            <w:r>
              <w:t xml:space="preserve">Full Academic Year</w:t>
            </w:r>
          </w:p>
        </w:tc>
        <w:tc>
          <w:tcPr/>
          <w:p>
            <w:pPr>
              <w:pStyle w:val="Compact"/>
              <w:jc w:val="left"/>
            </w:pPr>
            <w:r>
              <w:t xml:space="preserve">20</w:t>
            </w:r>
          </w:p>
        </w:tc>
        <w:tc>
          <w:tcPr/>
          <w:p>
            <w:pPr>
              <w:pStyle w:val="Compact"/>
              <w:jc w:val="left"/>
            </w:pPr>
            <w:r>
              <w:t xml:space="preserve">160.00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Teacher Secondary – Extracurricular Science Club Supervision (Tel Aviv District)</w:t>
            </w:r>
          </w:p>
        </w:tc>
        <w:tc>
          <w:tcPr/>
          <w:p>
            <w:pPr>
              <w:pStyle w:val="Compact"/>
              <w:jc w:val="left"/>
            </w:pPr>
            <w:r>
              <w:t xml:space="preserve">Sep 2024 – Jun 2025</w:t>
            </w:r>
          </w:p>
        </w:tc>
        <w:tc>
          <w:tcPr/>
          <w:p>
            <w:pPr>
              <w:pStyle w:val="Compact"/>
              <w:jc w:val="left"/>
            </w:pPr>
            <w:r>
              <w:t xml:space="preserve">32</w:t>
            </w:r>
          </w:p>
        </w:tc>
        <w:tc>
          <w:tcPr/>
          <w:p>
            <w:pPr>
              <w:pStyle w:val="Compact"/>
              <w:jc w:val="left"/>
            </w:pPr>
            <w:r>
              <w:t xml:space="preserve">130.00</w:t>
            </w:r>
          </w:p>
        </w:tc>
        <w:tc>
          <w:tcPr/>
          <w:p>
            <w:pPr>
              <w:pStyle w:val="Compact"/>
              <w:jc w:val="left"/>
            </w:pPr>
            <w:r>
              <w:t xml:space="preserve">4,160.00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55,600.00 ILS</w:t>
            </w:r>
          </w:p>
        </w:tc>
      </w:tr>
      <w:tr>
        <w:tc>
          <w:tcPr/>
          <w:p>
            <w:pPr>
              <w:pStyle w:val="Compact"/>
              <w:jc w:val="left"/>
            </w:pPr>
            <w:r>
              <w:t xml:space="preserve">VAT @ 18% (Israel Value Added Tax)</w:t>
            </w:r>
          </w:p>
        </w:tc>
        <w:tc>
          <w:tcPr/>
          <w:p>
            <w:pPr>
              <w:pStyle w:val="Compact"/>
              <w:jc w:val="right"/>
            </w:pPr>
            <w:r>
              <w:t xml:space="preserve">10,008.00 ILS</w:t>
            </w:r>
          </w:p>
        </w:tc>
      </w:tr>
      <w:tr>
        <w:tc>
          <w:tcPr/>
          <w:p>
            <w:pPr>
              <w:pStyle w:val="Compact"/>
              <w:jc w:val="left"/>
            </w:pPr>
            <w:r>
              <w:t xml:space="preserve">Discount – Early Payment (5%)</w:t>
            </w:r>
          </w:p>
        </w:tc>
        <w:tc>
          <w:tcPr/>
          <w:p>
            <w:pPr>
              <w:pStyle w:val="Compact"/>
              <w:jc w:val="right"/>
            </w:pPr>
            <w:r>
              <w:t xml:space="preserve">-2,780.00 ILS</w:t>
            </w:r>
          </w:p>
        </w:tc>
      </w:tr>
      <w:tr>
        <w:tc>
          <w:tcPr/>
          <w:p>
            <w:pPr>
              <w:pStyle w:val="Compact"/>
              <w:jc w:val="left"/>
            </w:pPr>
            <w:r>
              <w:t xml:space="preserve">Grand Total Due</w:t>
            </w:r>
          </w:p>
        </w:tc>
        <w:tc>
          <w:tcPr/>
          <w:p>
            <w:pPr>
              <w:pStyle w:val="Compact"/>
              <w:jc w:val="right"/>
            </w:pPr>
            <w:r>
              <w:t xml:space="preserve">62,828.00 ILS</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Bank Hapoalim, Tel Aviv Branch</w:t>
      </w:r>
    </w:p>
    <w:p>
      <w:pPr>
        <w:pStyle w:val="BodyText"/>
      </w:pPr>
      <w:r>
        <w:rPr>
          <w:bCs/>
          <w:b/>
        </w:rPr>
        <w:t xml:space="preserve">Account Name:</w:t>
      </w:r>
      <w:r>
        <w:t xml:space="preserve"> </w:t>
      </w:r>
      <w:r>
        <w:t xml:space="preserve">Tel Aviv Secondary Education Center</w:t>
      </w:r>
    </w:p>
    <w:p>
      <w:pPr>
        <w:pStyle w:val="BodyText"/>
      </w:pPr>
      <w:r>
        <w:rPr>
          <w:bCs/>
          <w:b/>
        </w:rPr>
        <w:t xml:space="preserve">Account Number:</w:t>
      </w:r>
      <w:r>
        <w:t xml:space="preserve"> </w:t>
      </w:r>
      <w:r>
        <w:t xml:space="preserve">001-123456-7</w:t>
      </w:r>
    </w:p>
    <w:p>
      <w:pPr>
        <w:pStyle w:val="BodyText"/>
      </w:pPr>
      <w:r>
        <w:rPr>
          <w:bCs/>
          <w:b/>
        </w:rPr>
        <w:t xml:space="preserve">IBAN:</w:t>
      </w:r>
      <w:r>
        <w:t xml:space="preserve"> </w:t>
      </w:r>
      <w:r>
        <w:t xml:space="preserve">IL16 0100 0000 0000 1234 567</w:t>
      </w:r>
    </w:p>
    <w:p>
      <w:pPr>
        <w:pStyle w:val="BodyText"/>
      </w:pPr>
      <w:r>
        <w:rPr>
          <w:bCs/>
          <w:b/>
        </w:rPr>
        <w:t xml:space="preserve">Reference:</w:t>
      </w:r>
      <w:r>
        <w:t xml:space="preserve"> </w:t>
      </w:r>
      <w:r>
        <w:t xml:space="preserve">IL-TAV-2025-0847 / Noa Ben-Ari</w:t>
      </w:r>
    </w:p>
    <w:p>
      <w:pPr>
        <w:pStyle w:val="BodyText"/>
      </w:pPr>
      <w:r>
        <w:rPr>
          <w:bCs/>
          <w:b/>
        </w:rPr>
        <w:t xml:space="preserve">Accepted Methods:</w:t>
      </w:r>
      <w:r>
        <w:t xml:space="preserve"> </w:t>
      </w:r>
      <w:r>
        <w:t xml:space="preserve">Bank Transfer, Credit Card (Visa/Mastercard), Bit (Israeli mobile payment)</w:t>
      </w:r>
    </w:p>
    <w:p>
      <w:pPr>
        <w:pStyle w:val="BodyText"/>
      </w:pPr>
      <w:r>
        <w:rPr>
          <w:bCs/>
          <w:b/>
        </w:rPr>
        <w:t xml:space="preserve">Payment Deadline:</w:t>
      </w:r>
      <w:r>
        <w:t xml:space="preserve"> </w:t>
      </w:r>
      <w:r>
        <w:t xml:space="preserve">30 June 2025. Late payments will incur a 1.5% monthly interest charge as per Israeli Consumer Protection Law.</w:t>
      </w:r>
    </w:p>
    <w:bookmarkEnd w:id="24"/>
    <w:bookmarkStart w:id="25" w:name="important-notes-terms"/>
    <w:p>
      <w:pPr>
        <w:pStyle w:val="Heading3"/>
      </w:pPr>
      <w:r>
        <w:t xml:space="preserve">Important Notes &amp; Terms</w:t>
      </w:r>
    </w:p>
    <w:p>
      <w:pPr>
        <w:pStyle w:val="FirstParagraph"/>
      </w:pPr>
      <w:r>
        <w:t xml:space="preserve">This Invoice is issued in accordance with the regulations of the Israeli Ministry of Education and the Tel Aviv-Yafo Municipality Education Department. All Teacher Secondary services listed herein were delivered in compliance with the national curriculum standards for secondary education in Israel.</w:t>
      </w:r>
    </w:p>
    <w:p>
      <w:pPr>
        <w:numPr>
          <w:ilvl w:val="0"/>
          <w:numId w:val="1001"/>
        </w:numPr>
        <w:pStyle w:val="Compact"/>
      </w:pPr>
      <w:r>
        <w:t xml:space="preserve">The Teacher Secondary named on this Invoice, Ms. Rachel Goldstein, holds a valid teaching license issued by the Israeli Ministry of Education and has completed all required professional development hours for the 2024/2025 academic year.</w:t>
      </w:r>
    </w:p>
    <w:p>
      <w:pPr>
        <w:numPr>
          <w:ilvl w:val="0"/>
          <w:numId w:val="1001"/>
        </w:numPr>
        <w:pStyle w:val="Compact"/>
      </w:pPr>
      <w:r>
        <w:t xml:space="preserve">All instructional hours were conducted at the Tel Aviv Secondary Education Center campus located in the heart of Tel Aviv, in accordance with the school's approved schedule and the student's enrollment agreement.</w:t>
      </w:r>
    </w:p>
    <w:p>
      <w:pPr>
        <w:numPr>
          <w:ilvl w:val="0"/>
          <w:numId w:val="1001"/>
        </w:numPr>
        <w:pStyle w:val="Compact"/>
      </w:pPr>
      <w:r>
        <w:t xml:space="preserve">This Invoice covers the full academic year 2024/2025. Any additional services requested beyond the scope of this Invoice will be subject to a separate billing document.</w:t>
      </w:r>
    </w:p>
    <w:p>
      <w:pPr>
        <w:numPr>
          <w:ilvl w:val="0"/>
          <w:numId w:val="1001"/>
        </w:numPr>
        <w:pStyle w:val="Compact"/>
      </w:pPr>
      <w:r>
        <w:t xml:space="preserve">VAT (18%) is applied in accordance with the Israeli Value Added Tax Law, 5711-1975. The VAT registration number is printed in the header of this Invoice.</w:t>
      </w:r>
    </w:p>
    <w:p>
      <w:pPr>
        <w:numPr>
          <w:ilvl w:val="0"/>
          <w:numId w:val="1001"/>
        </w:numPr>
        <w:pStyle w:val="Compact"/>
      </w:pPr>
      <w:r>
        <w:t xml:space="preserve">Disputes regarding this Invoice must be submitted in writing to the finance office within 14 calendar days of the issue date. The Tel Aviv-Yafo District Court shall have jurisdiction over any unresolved disputes.</w:t>
      </w:r>
    </w:p>
    <w:p>
      <w:pPr>
        <w:numPr>
          <w:ilvl w:val="0"/>
          <w:numId w:val="1001"/>
        </w:numPr>
        <w:pStyle w:val="Compact"/>
      </w:pPr>
      <w:r>
        <w:t xml:space="preserve">Parents are reminded that the Teacher Secondary is available for consultation during designated office hours (Sunday–Thursday, 14:00–16:00) at the Tel Aviv campus.</w:t>
      </w:r>
    </w:p>
    <w:p>
      <w:pPr>
        <w:numPr>
          <w:ilvl w:val="0"/>
          <w:numId w:val="1001"/>
        </w:numPr>
        <w:pStyle w:val="Compact"/>
      </w:pPr>
      <w:r>
        <w:t xml:space="preserve">This document constitutes a legally binding financial record. Please retain a copy for your personal tax records and for any future educational funding applications in Israel.</w:t>
      </w:r>
    </w:p>
    <w:bookmarkEnd w:id="25"/>
    <w:p>
      <w:pPr>
        <w:pStyle w:val="FirstParagraph"/>
      </w:pPr>
      <w:r>
        <w:rPr>
          <w:bCs/>
          <w:b/>
        </w:rPr>
        <w:t xml:space="preserve">Tel Aviv Secondary Education Center</w:t>
      </w:r>
      <w:r>
        <w:t xml:space="preserve"> </w:t>
      </w:r>
      <w:r>
        <w:t xml:space="preserve">| 145 Allenby Street, Tel Aviv-Yafo, Israel 6610100</w:t>
      </w:r>
    </w:p>
    <w:p>
      <w:pPr>
        <w:pStyle w:val="BodyText"/>
      </w:pPr>
      <w:r>
        <w:t xml:space="preserve">Registered with the Israeli Ministry of Education | VAT No. 51-804-332-17 | License IL-SEC-2019-0447</w:t>
      </w:r>
    </w:p>
    <w:p>
      <w:pPr>
        <w:pStyle w:val="BodyText"/>
      </w:pPr>
      <w:r>
        <w:t xml:space="preserve">This Invoice was generated electronically and is valid without a physical signature. For inquiries, contact finance@tavsec-edu.co.il or call +972-3-621-4580.</w:t>
      </w:r>
    </w:p>
    <w:p>
      <w:pPr>
        <w:pStyle w:val="BodyText"/>
      </w:pPr>
      <w:r>
        <w:t xml:space="preserve">© 2025 Tel Aviv Secondary Education Center. All rights reserved. Invoice IL-TAV-2025-0847.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Israel Tel Aviv</dc:title>
  <dc:creator/>
  <dc:language>en</dc:language>
  <cp:keywords/>
  <dcterms:created xsi:type="dcterms:W3CDTF">2026-10-10T07:00:33Z</dcterms:created>
  <dcterms:modified xsi:type="dcterms:W3CDTF">2026-10-10T07:00:33Z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