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Teacher Secondary Professional Services</w:t>
      </w:r>
    </w:p>
    <w:p>
      <w:pPr>
        <w:pStyle w:val="BodyText"/>
      </w:pPr>
      <w:r>
        <w:t xml:space="preserve">Japan Osaka Region</w:t>
      </w:r>
    </w:p>
    <w:bookmarkStart w:id="20" w:name="invoice-details"/>
    <w:p>
      <w:pPr>
        <w:pStyle w:val="Heading3"/>
      </w:pPr>
      <w:r>
        <w:t xml:space="preserve">Invoice Details</w:t>
      </w:r>
    </w:p>
    <w:p>
      <w:pPr>
        <w:pStyle w:val="FirstParagraph"/>
      </w:pPr>
      <w:r>
        <w:rPr>
          <w:bCs/>
          <w:b/>
        </w:rPr>
        <w:t xml:space="preserve">Invoice No.:</w:t>
      </w:r>
      <w:r>
        <w:t xml:space="preserve"> </w:t>
      </w:r>
      <w:r>
        <w:t xml:space="preserve">JPO-2025-04872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Period:</w:t>
      </w:r>
      <w:r>
        <w:t xml:space="preserve"> </w:t>
      </w:r>
      <w:r>
        <w:t xml:space="preserve">April 1 – June 30, 2025</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Kenji Tanaka, M.Ed.</w:t>
      </w:r>
    </w:p>
    <w:p>
      <w:pPr>
        <w:pStyle w:val="BodyText"/>
      </w:pPr>
      <w:r>
        <w:t xml:space="preserve">Teacher Secondary – Mathematics &amp; Science</w:t>
      </w:r>
    </w:p>
    <w:p>
      <w:pPr>
        <w:pStyle w:val="BodyText"/>
      </w:pPr>
      <w:r>
        <w:t xml:space="preserve">Osaka Prefectural Secondary Education Board</w:t>
      </w:r>
    </w:p>
    <w:p>
      <w:pPr>
        <w:pStyle w:val="BodyText"/>
      </w:pPr>
      <w:r>
        <w:t xml:space="preserve">2-1-1 Nakanoshima, Kita-ku</w:t>
      </w:r>
    </w:p>
    <w:p>
      <w:pPr>
        <w:pStyle w:val="BodyText"/>
      </w:pPr>
      <w:r>
        <w:t xml:space="preserve">Osaka 530-0001, Japan</w:t>
      </w:r>
    </w:p>
    <w:p>
      <w:pPr>
        <w:pStyle w:val="BodyText"/>
      </w:pPr>
      <w:r>
        <w:t xml:space="preserve">Email: k.tanaka@osaka-sec-ed.jp</w:t>
      </w:r>
    </w:p>
    <w:p>
      <w:pPr>
        <w:pStyle w:val="BodyText"/>
      </w:pPr>
      <w:r>
        <w:t xml:space="preserve">Tel: +81-6-6210-4587</w:t>
      </w:r>
    </w:p>
    <w:bookmarkEnd w:id="21"/>
    <w:bookmarkStart w:id="22" w:name="billed-to-client-employer"/>
    <w:p>
      <w:pPr>
        <w:pStyle w:val="Heading4"/>
      </w:pPr>
      <w:r>
        <w:t xml:space="preserve">Billed To (Client / Employer)</w:t>
      </w:r>
    </w:p>
    <w:p>
      <w:pPr>
        <w:pStyle w:val="FirstParagraph"/>
      </w:pPr>
      <w:r>
        <w:rPr>
          <w:bCs/>
          <w:b/>
        </w:rPr>
        <w:t xml:space="preserve">Osaka Metropolitan Secondary School District</w:t>
      </w:r>
    </w:p>
    <w:p>
      <w:pPr>
        <w:pStyle w:val="BodyText"/>
      </w:pPr>
      <w:r>
        <w:t xml:space="preserve">Office of Curriculum &amp; Personnel</w:t>
      </w:r>
    </w:p>
    <w:p>
      <w:pPr>
        <w:pStyle w:val="BodyText"/>
      </w:pPr>
      <w:r>
        <w:t xml:space="preserve">3-2-8 Umeda, Kita-ku</w:t>
      </w:r>
    </w:p>
    <w:p>
      <w:pPr>
        <w:pStyle w:val="BodyText"/>
      </w:pPr>
      <w:r>
        <w:t xml:space="preserve">Osaka 530-0001, Japan</w:t>
      </w:r>
    </w:p>
    <w:p>
      <w:pPr>
        <w:pStyle w:val="BodyText"/>
      </w:pPr>
      <w:r>
        <w:t xml:space="preserve">Attn: Director Yuki Morimoto</w:t>
      </w:r>
    </w:p>
    <w:p>
      <w:pPr>
        <w:pStyle w:val="BodyText"/>
      </w:pPr>
      <w:r>
        <w:t xml:space="preserve">Email: personnel@osaka-met-sec.jp</w:t>
      </w:r>
    </w:p>
    <w:p>
      <w:pPr>
        <w:pStyle w:val="BodyText"/>
      </w:pPr>
      <w:r>
        <w:t xml:space="preserve">Tel: +81-6-6371-2200</w:t>
      </w:r>
    </w:p>
    <w:bookmarkEnd w:id="22"/>
    <w:bookmarkStart w:id="25" w:name="X5afff594f633e195d6742f9807b4b1cf2a21265"/>
    <w:p>
      <w:pPr>
        <w:pStyle w:val="Heading3"/>
      </w:pPr>
      <w:r>
        <w:t xml:space="preserve">Description of Teacher Secondary Services Rendered in Japan Osaka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Teacher Secondary classroom instruction – Mathematics (Grades 7–9), Osaka Municipal Secondary School, Nishi-ku campus</w:t>
            </w:r>
          </w:p>
        </w:tc>
        <w:tc>
          <w:tcPr/>
          <w:p>
            <w:pPr>
              <w:pStyle w:val="Compact"/>
              <w:jc w:val="left"/>
            </w:pPr>
            <w:r>
              <w:t xml:space="preserve">180 hrs</w:t>
            </w:r>
          </w:p>
        </w:tc>
        <w:tc>
          <w:tcPr/>
          <w:p>
            <w:pPr>
              <w:pStyle w:val="Compact"/>
              <w:jc w:val="left"/>
            </w:pPr>
            <w:r>
              <w:t xml:space="preserve">¥4,200</w:t>
            </w:r>
          </w:p>
        </w:tc>
        <w:tc>
          <w:tcPr/>
          <w:p>
            <w:pPr>
              <w:pStyle w:val="Compact"/>
              <w:jc w:val="left"/>
            </w:pPr>
            <w:r>
              <w:t xml:space="preserve">¥756,000</w:t>
            </w:r>
          </w:p>
        </w:tc>
        <w:tc>
          <w:tcPr/>
          <w:p>
            <w:pPr>
              <w:pStyle w:val="Compact"/>
              <w:jc w:val="left"/>
            </w:pPr>
            <w:r>
              <w:t xml:space="preserve">Core Teaching</w:t>
            </w:r>
          </w:p>
        </w:tc>
      </w:tr>
      <w:tr>
        <w:tc>
          <w:tcPr/>
          <w:p>
            <w:pPr>
              <w:pStyle w:val="Compact"/>
              <w:jc w:val="left"/>
            </w:pPr>
            <w:r>
              <w:t xml:space="preserve">2</w:t>
            </w:r>
          </w:p>
        </w:tc>
        <w:tc>
          <w:tcPr/>
          <w:p>
            <w:pPr>
              <w:pStyle w:val="Compact"/>
              <w:jc w:val="left"/>
            </w:pPr>
            <w:r>
              <w:t xml:space="preserve">Teacher Secondary classroom instruction – Integrated Science (Grades 7–9), Osaka Municipal Secondary School, Nishi-ku campus</w:t>
            </w:r>
          </w:p>
        </w:tc>
        <w:tc>
          <w:tcPr/>
          <w:p>
            <w:pPr>
              <w:pStyle w:val="Compact"/>
              <w:jc w:val="left"/>
            </w:pPr>
            <w:r>
              <w:t xml:space="preserve">120 hrs</w:t>
            </w:r>
          </w:p>
        </w:tc>
        <w:tc>
          <w:tcPr/>
          <w:p>
            <w:pPr>
              <w:pStyle w:val="Compact"/>
              <w:jc w:val="left"/>
            </w:pPr>
            <w:r>
              <w:t xml:space="preserve">¥4,200</w:t>
            </w:r>
          </w:p>
        </w:tc>
        <w:tc>
          <w:tcPr/>
          <w:p>
            <w:pPr>
              <w:pStyle w:val="Compact"/>
              <w:jc w:val="left"/>
            </w:pPr>
            <w:r>
              <w:t xml:space="preserve">¥504,000</w:t>
            </w:r>
          </w:p>
        </w:tc>
        <w:tc>
          <w:tcPr/>
          <w:p>
            <w:pPr>
              <w:pStyle w:val="Compact"/>
              <w:jc w:val="left"/>
            </w:pPr>
            <w:r>
              <w:t xml:space="preserve">Core Teaching</w:t>
            </w:r>
          </w:p>
        </w:tc>
      </w:tr>
      <w:tr>
        <w:tc>
          <w:tcPr/>
          <w:p>
            <w:pPr>
              <w:pStyle w:val="Compact"/>
              <w:jc w:val="left"/>
            </w:pPr>
            <w:r>
              <w:t xml:space="preserve">3</w:t>
            </w:r>
          </w:p>
        </w:tc>
        <w:tc>
          <w:tcPr/>
          <w:p>
            <w:pPr>
              <w:pStyle w:val="Compact"/>
              <w:jc w:val="left"/>
            </w:pPr>
            <w:r>
              <w:t xml:space="preserve">Teacher Secondary curriculum development and lesson plan preparation for the Japan Osaka academic year 2025</w:t>
            </w:r>
          </w:p>
        </w:tc>
        <w:tc>
          <w:tcPr/>
          <w:p>
            <w:pPr>
              <w:pStyle w:val="Compact"/>
              <w:jc w:val="left"/>
            </w:pPr>
            <w:r>
              <w:t xml:space="preserve">60 hrs</w:t>
            </w:r>
          </w:p>
        </w:tc>
        <w:tc>
          <w:tcPr/>
          <w:p>
            <w:pPr>
              <w:pStyle w:val="Compact"/>
              <w:jc w:val="left"/>
            </w:pPr>
            <w:r>
              <w:t xml:space="preserve">¥3,800</w:t>
            </w:r>
          </w:p>
        </w:tc>
        <w:tc>
          <w:tcPr/>
          <w:p>
            <w:pPr>
              <w:pStyle w:val="Compact"/>
              <w:jc w:val="left"/>
            </w:pPr>
            <w:r>
              <w:t xml:space="preserve">¥228,000</w:t>
            </w:r>
          </w:p>
        </w:tc>
        <w:tc>
          <w:tcPr/>
          <w:p>
            <w:pPr>
              <w:pStyle w:val="Compact"/>
              <w:jc w:val="left"/>
            </w:pPr>
            <w:r>
              <w:t xml:space="preserve">Curriculum</w:t>
            </w:r>
          </w:p>
        </w:tc>
      </w:tr>
      <w:tr>
        <w:tc>
          <w:tcPr/>
          <w:p>
            <w:pPr>
              <w:pStyle w:val="Compact"/>
              <w:jc w:val="left"/>
            </w:pPr>
            <w:r>
              <w:t xml:space="preserve">4</w:t>
            </w:r>
          </w:p>
        </w:tc>
        <w:tc>
          <w:tcPr/>
          <w:p>
            <w:pPr>
              <w:pStyle w:val="Compact"/>
              <w:jc w:val="left"/>
            </w:pPr>
            <w:r>
              <w:t xml:space="preserve">Teacher Secondary after-school tutoring and remedial support sessions for at-risk students, Osaka community center program</w:t>
            </w:r>
          </w:p>
        </w:tc>
        <w:tc>
          <w:tcPr/>
          <w:p>
            <w:pPr>
              <w:pStyle w:val="Compact"/>
              <w:jc w:val="left"/>
            </w:pPr>
            <w:r>
              <w:t xml:space="preserve">45 hrs</w:t>
            </w:r>
          </w:p>
        </w:tc>
        <w:tc>
          <w:tcPr/>
          <w:p>
            <w:pPr>
              <w:pStyle w:val="Compact"/>
              <w:jc w:val="left"/>
            </w:pPr>
            <w:r>
              <w:t xml:space="preserve">¥3,500</w:t>
            </w:r>
          </w:p>
        </w:tc>
        <w:tc>
          <w:tcPr/>
          <w:p>
            <w:pPr>
              <w:pStyle w:val="Compact"/>
              <w:jc w:val="left"/>
            </w:pPr>
            <w:r>
              <w:t xml:space="preserve">¥157,500</w:t>
            </w:r>
          </w:p>
        </w:tc>
        <w:tc>
          <w:tcPr/>
          <w:p>
            <w:pPr>
              <w:pStyle w:val="Compact"/>
              <w:jc w:val="left"/>
            </w:pPr>
            <w:r>
              <w:t xml:space="preserve">Support Services</w:t>
            </w:r>
          </w:p>
        </w:tc>
      </w:tr>
      <w:tr>
        <w:tc>
          <w:tcPr/>
          <w:p>
            <w:pPr>
              <w:pStyle w:val="Compact"/>
              <w:jc w:val="left"/>
            </w:pPr>
            <w:r>
              <w:t xml:space="preserve">5</w:t>
            </w:r>
          </w:p>
        </w:tc>
        <w:tc>
          <w:tcPr/>
          <w:p>
            <w:pPr>
              <w:pStyle w:val="Compact"/>
              <w:jc w:val="left"/>
            </w:pPr>
            <w:r>
              <w:t xml:space="preserve">Teacher Secondary participation in Japan Osaka regional education conference and professional development workshop (March 2025, Osaka International Convention Center)</w:t>
            </w:r>
          </w:p>
        </w:tc>
        <w:tc>
          <w:tcPr/>
          <w:p>
            <w:pPr>
              <w:pStyle w:val="Compact"/>
              <w:jc w:val="left"/>
            </w:pPr>
            <w:r>
              <w:t xml:space="preserve">2 days</w:t>
            </w:r>
          </w:p>
        </w:tc>
        <w:tc>
          <w:tcPr/>
          <w:p>
            <w:pPr>
              <w:pStyle w:val="Compact"/>
              <w:jc w:val="left"/>
            </w:pPr>
            <w:r>
              <w:t xml:space="preserve">¥18,000</w:t>
            </w:r>
          </w:p>
        </w:tc>
        <w:tc>
          <w:tcPr/>
          <w:p>
            <w:pPr>
              <w:pStyle w:val="Compact"/>
              <w:jc w:val="left"/>
            </w:pPr>
            <w:r>
              <w:t xml:space="preserve">¥36,000</w:t>
            </w:r>
          </w:p>
        </w:tc>
        <w:tc>
          <w:tcPr/>
          <w:p>
            <w:pPr>
              <w:pStyle w:val="Compact"/>
              <w:jc w:val="left"/>
            </w:pPr>
            <w:r>
              <w:t xml:space="preserve">Professional Dev.</w:t>
            </w:r>
          </w:p>
        </w:tc>
      </w:tr>
      <w:tr>
        <w:tc>
          <w:tcPr/>
          <w:p>
            <w:pPr>
              <w:pStyle w:val="Compact"/>
              <w:jc w:val="left"/>
            </w:pPr>
            <w:r>
              <w:t xml:space="preserve">6</w:t>
            </w:r>
          </w:p>
        </w:tc>
        <w:tc>
          <w:tcPr/>
          <w:p>
            <w:pPr>
              <w:pStyle w:val="Compact"/>
              <w:jc w:val="left"/>
            </w:pPr>
            <w:r>
              <w:t xml:space="preserve">Teacher Secondary examination design, grading, and assessment reporting for mid-term and final evaluations, Japan Osaka district standard</w:t>
            </w:r>
          </w:p>
        </w:tc>
        <w:tc>
          <w:tcPr/>
          <w:p>
            <w:pPr>
              <w:pStyle w:val="Compact"/>
              <w:jc w:val="left"/>
            </w:pPr>
            <w:r>
              <w:t xml:space="preserve">40 hrs</w:t>
            </w:r>
          </w:p>
        </w:tc>
        <w:tc>
          <w:tcPr/>
          <w:p>
            <w:pPr>
              <w:pStyle w:val="Compact"/>
              <w:jc w:val="left"/>
            </w:pPr>
            <w:r>
              <w:t xml:space="preserve">¥3,200</w:t>
            </w:r>
          </w:p>
        </w:tc>
        <w:tc>
          <w:tcPr/>
          <w:p>
            <w:pPr>
              <w:pStyle w:val="Compact"/>
              <w:jc w:val="left"/>
            </w:pPr>
            <w:r>
              <w:t xml:space="preserve">¥128,000</w:t>
            </w:r>
          </w:p>
        </w:tc>
        <w:tc>
          <w:tcPr/>
          <w:p>
            <w:pPr>
              <w:pStyle w:val="Compact"/>
              <w:jc w:val="left"/>
            </w:pPr>
            <w:r>
              <w:t xml:space="preserve">Assessment</w:t>
            </w:r>
          </w:p>
        </w:tc>
      </w:tr>
      <w:tr>
        <w:tc>
          <w:tcPr/>
          <w:p>
            <w:pPr>
              <w:pStyle w:val="Compact"/>
              <w:jc w:val="left"/>
            </w:pPr>
            <w:r>
              <w:t xml:space="preserve">7</w:t>
            </w:r>
          </w:p>
        </w:tc>
        <w:tc>
          <w:tcPr/>
          <w:p>
            <w:pPr>
              <w:pStyle w:val="Compact"/>
              <w:jc w:val="left"/>
            </w:pPr>
            <w:r>
              <w:t xml:space="preserve">Teacher Secondary parent-teacher conference facilitation and student progress documentation, Osaka school district requirement</w:t>
            </w:r>
          </w:p>
        </w:tc>
        <w:tc>
          <w:tcPr/>
          <w:p>
            <w:pPr>
              <w:pStyle w:val="Compact"/>
              <w:jc w:val="left"/>
            </w:pPr>
            <w:r>
              <w:t xml:space="preserve">20 hrs</w:t>
            </w:r>
          </w:p>
        </w:tc>
        <w:tc>
          <w:tcPr/>
          <w:p>
            <w:pPr>
              <w:pStyle w:val="Compact"/>
              <w:jc w:val="left"/>
            </w:pPr>
            <w:r>
              <w:t xml:space="preserve">¥3,000</w:t>
            </w:r>
          </w:p>
        </w:tc>
        <w:tc>
          <w:tcPr/>
          <w:p>
            <w:pPr>
              <w:pStyle w:val="Compact"/>
              <w:jc w:val="left"/>
            </w:pPr>
            <w:r>
              <w:t xml:space="preserve">¥60,000</w:t>
            </w:r>
          </w:p>
        </w:tc>
        <w:tc>
          <w:tcPr/>
          <w:p>
            <w:pPr>
              <w:pStyle w:val="Compact"/>
              <w:jc w:val="left"/>
            </w:pPr>
            <w:r>
              <w:t xml:space="preserve">Communication</w:t>
            </w:r>
          </w:p>
        </w:tc>
      </w:tr>
      <w:tr>
        <w:tc>
          <w:tcPr/>
          <w:p>
            <w:pPr>
              <w:pStyle w:val="Compact"/>
              <w:jc w:val="left"/>
            </w:pPr>
            <w:r>
              <w:t xml:space="preserve">8</w:t>
            </w:r>
          </w:p>
        </w:tc>
        <w:tc>
          <w:tcPr/>
          <w:p>
            <w:pPr>
              <w:pStyle w:val="Compact"/>
              <w:jc w:val="left"/>
            </w:pPr>
            <w:r>
              <w:t xml:space="preserve">Teacher Secondary supervision of school science laboratory and safety compliance audits, Japan Osaka education board mandate</w:t>
            </w:r>
          </w:p>
        </w:tc>
        <w:tc>
          <w:tcPr/>
          <w:p>
            <w:pPr>
              <w:pStyle w:val="Compact"/>
              <w:jc w:val="left"/>
            </w:pPr>
            <w:r>
              <w:t xml:space="preserve">25 hrs</w:t>
            </w:r>
          </w:p>
        </w:tc>
        <w:tc>
          <w:tcPr/>
          <w:p>
            <w:pPr>
              <w:pStyle w:val="Compact"/>
              <w:jc w:val="left"/>
            </w:pPr>
            <w:r>
              <w:t xml:space="preserve">¥3,600</w:t>
            </w:r>
          </w:p>
        </w:tc>
        <w:tc>
          <w:tcPr/>
          <w:p>
            <w:pPr>
              <w:pStyle w:val="Compact"/>
              <w:jc w:val="left"/>
            </w:pPr>
            <w:r>
              <w:t xml:space="preserve">¥90,000</w:t>
            </w:r>
          </w:p>
        </w:tc>
        <w:tc>
          <w:tcPr/>
          <w:p>
            <w:pPr>
              <w:pStyle w:val="Compact"/>
              <w:jc w:val="left"/>
            </w:pPr>
            <w:r>
              <w:t xml:space="preserve">Facilities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¥1,959,500</w:t>
            </w:r>
          </w:p>
        </w:tc>
      </w:tr>
      <w:tr>
        <w:tc>
          <w:tcPr/>
          <w:p>
            <w:pPr>
              <w:pStyle w:val="Compact"/>
              <w:jc w:val="left"/>
            </w:pPr>
            <w:r>
              <w:t xml:space="preserve">Consumption Tax (10% – Japan Osaka standard rate)</w:t>
            </w:r>
          </w:p>
        </w:tc>
        <w:tc>
          <w:tcPr/>
          <w:p>
            <w:pPr>
              <w:pStyle w:val="Compact"/>
              <w:jc w:val="right"/>
            </w:pPr>
            <w:r>
              <w:t xml:space="preserve">¥195,950</w:t>
            </w:r>
          </w:p>
        </w:tc>
      </w:tr>
      <w:tr>
        <w:tc>
          <w:tcPr/>
          <w:p>
            <w:pPr>
              <w:pStyle w:val="Compact"/>
              <w:jc w:val="left"/>
            </w:pPr>
            <w:r>
              <w:t xml:space="preserve">Special Allowance – Rural Osaka District Surcharge</w:t>
            </w:r>
          </w:p>
        </w:tc>
        <w:tc>
          <w:tcPr/>
          <w:p>
            <w:pPr>
              <w:pStyle w:val="Compact"/>
              <w:jc w:val="right"/>
            </w:pPr>
            <w:r>
              <w:t xml:space="preserve">¥15,000</w:t>
            </w:r>
          </w:p>
        </w:tc>
      </w:tr>
      <w:tr>
        <w:tc>
          <w:tcPr/>
          <w:p>
            <w:pPr>
              <w:pStyle w:val="Compact"/>
              <w:jc w:val="left"/>
            </w:pPr>
            <w:r>
              <w:t xml:space="preserve">Grand Total Due</w:t>
            </w:r>
          </w:p>
        </w:tc>
        <w:tc>
          <w:tcPr/>
          <w:p>
            <w:pPr>
              <w:pStyle w:val="Compact"/>
              <w:jc w:val="right"/>
            </w:pPr>
            <w:r>
              <w:t xml:space="preserve">¥2,170,450</w:t>
            </w:r>
          </w:p>
        </w:tc>
      </w:tr>
    </w:tbl>
    <w:bookmarkStart w:id="23" w:name="payment-terms-instructions"/>
    <w:p>
      <w:pPr>
        <w:pStyle w:val="Heading4"/>
      </w:pPr>
      <w:r>
        <w:t xml:space="preserve">Payment Terms &amp; Instructions</w:t>
      </w:r>
    </w:p>
    <w:p>
      <w:pPr>
        <w:pStyle w:val="FirstParagraph"/>
      </w:pPr>
      <w:r>
        <w:t xml:space="preserve">This Invoice must be settled in full within thirty (30) calendar days of the issue date, no later than July 15, 2025. Payment is to be made via bank transfer to the account designated by the Osaka Metropolitan Secondary School District Finance Office. The Teacher Secondary service provider shall receive confirmation of payment within five business days of the transfer. Late payments will incur a penalty of 1.5% per month as stipulated under Japan Osaka municipal education procurement regulations. Please reference Invoice number JPO-2025-04872 in all correspondence and remittance advices.</w:t>
      </w:r>
    </w:p>
    <w:bookmarkEnd w:id="23"/>
    <w:bookmarkStart w:id="24" w:name="important-notes-regarding-this-invoice"/>
    <w:p>
      <w:pPr>
        <w:pStyle w:val="Heading4"/>
      </w:pPr>
      <w:r>
        <w:t xml:space="preserve">Important Notes Regarding This Invoice</w:t>
      </w:r>
    </w:p>
    <w:p>
      <w:pPr>
        <w:pStyle w:val="FirstParagraph"/>
      </w:pPr>
      <w:r>
        <w:t xml:space="preserve">1. This Invoice covers all Teacher Secondary professional services rendered between April 1, 2025, and June 30, 2025, within the Japan Osaka metropolitan secondary education district.</w:t>
      </w:r>
    </w:p>
    <w:p>
      <w:pPr>
        <w:pStyle w:val="BodyText"/>
      </w:pPr>
      <w:r>
        <w:t xml:space="preserve">2. All rates listed are in Japanese Yen (JPY) and are subject to the annual Japan Osaka education board salary and fee schedule effective January 2025.</w:t>
      </w:r>
    </w:p>
    <w:p>
      <w:pPr>
        <w:pStyle w:val="BodyText"/>
      </w:pPr>
      <w:r>
        <w:t xml:space="preserve">3. The Teacher Secondary classification applied in this Invoice corresponds to the national qualification standard for secondary-level educators as defined by the Japan Osaka Prefectural Board of Education.</w:t>
      </w:r>
    </w:p>
    <w:p>
      <w:pPr>
        <w:pStyle w:val="BodyText"/>
      </w:pPr>
      <w:r>
        <w:t xml:space="preserve">4. Should any discrepancy be identified in the line items of this Invoice, the billed party must submit a written objection to the issuing office within fourteen (14) days of receipt. Failure to do so constitutes acceptance of all charges listed.</w:t>
      </w:r>
    </w:p>
    <w:p>
      <w:pPr>
        <w:pStyle w:val="BodyText"/>
      </w:pPr>
      <w:r>
        <w:t xml:space="preserve">5. This document serves as the official financial record for Teacher Secondary employment compensation in the Japan Osaka region and may be referenced for tax filing, audit, and budget reconciliation purposes.</w:t>
      </w:r>
    </w:p>
    <w:bookmarkEnd w:id="24"/>
    <w:p>
      <w:pPr>
        <w:pStyle w:val="BodyText"/>
      </w:pPr>
      <w:r>
        <w:rPr>
          <w:bCs/>
          <w:b/>
        </w:rPr>
        <w:t xml:space="preserve">Invoice</w:t>
      </w:r>
      <w:r>
        <w:t xml:space="preserve"> </w:t>
      </w:r>
      <w:r>
        <w:t xml:space="preserve">JPO-2025-04872 | Teacher Secondary Services | Japan Osaka</w:t>
      </w:r>
    </w:p>
    <w:p>
      <w:pPr>
        <w:pStyle w:val="BodyText"/>
      </w:pPr>
      <w:r>
        <w:t xml:space="preserve">Issued by: Osaka Prefectural Secondary Education Board – Finance &amp; Accounting Division</w:t>
      </w:r>
    </w:p>
    <w:p>
      <w:pPr>
        <w:pStyle w:val="BodyText"/>
      </w:pPr>
      <w:r>
        <w:t xml:space="preserve">Address: 2-1-1 Nakanoshima, Kita-ku, Osaka 530-0001, Japan</w:t>
      </w:r>
    </w:p>
    <w:p>
      <w:pPr>
        <w:pStyle w:val="BodyText"/>
      </w:pPr>
      <w:r>
        <w:t xml:space="preserve">This Invoice is generated electronically and is valid without a physical signature. For inquiries, contact the Japan Osaka Education Finance Hotline at +81-6-6210-9900.</w:t>
      </w:r>
    </w:p>
    <w:p>
      <w:pPr>
        <w:pStyle w:val="BodyText"/>
      </w:pPr>
      <w:r>
        <w:t xml:space="preserve">© 2025 Osaka Metropolitan Secondary School District. All rights reserved. Document ID: INV-JPO-2025-04872-REV1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Japan Osaka</dc:title>
  <dc:creator/>
  <dc:language>en</dc:language>
  <cp:keywords/>
  <dcterms:created xsi:type="dcterms:W3CDTF">2026-10-10T00:37:48Z</dcterms:created>
  <dcterms:modified xsi:type="dcterms:W3CDTF">2026-10-10T00:37:48Z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