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educational-services-llp"/>
    <w:p>
      <w:pPr>
        <w:pStyle w:val="Heading1"/>
      </w:pPr>
      <w:r>
        <w:t xml:space="preserve">Almaty Educational Services LLP</w:t>
      </w:r>
    </w:p>
    <w:p>
      <w:pPr>
        <w:pStyle w:val="FirstParagraph"/>
      </w:pPr>
      <w:r>
        <w:t xml:space="preserve">145 Abai Avenue, Almaty, 050040, Kazakhstan</w:t>
      </w:r>
    </w:p>
    <w:p>
      <w:pPr>
        <w:pStyle w:val="BodyText"/>
      </w:pPr>
      <w:r>
        <w:t xml:space="preserve">Tax Identification Number (BIN): 990740012345</w:t>
      </w:r>
    </w:p>
    <w:p>
      <w:pPr>
        <w:pStyle w:val="BodyText"/>
      </w:pPr>
      <w:r>
        <w:t xml:space="preserve">Phone: +7 (727) 245-6789</w:t>
      </w:r>
    </w:p>
    <w:p>
      <w:pPr>
        <w:pStyle w:val="BodyText"/>
      </w:pPr>
      <w:r>
        <w:t xml:space="preserve">Email: billing@almatyeduservices.kz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AES-2025-00487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Al-Farabi Secondary School No. 42</w:t>
      </w:r>
    </w:p>
    <w:p>
      <w:pPr>
        <w:pStyle w:val="BodyText"/>
      </w:pPr>
      <w:r>
        <w:t xml:space="preserve">78 Dostyk Avenue, Almaty, 050020, Kazakhstan</w:t>
      </w:r>
    </w:p>
    <w:p>
      <w:pPr>
        <w:pStyle w:val="BodyText"/>
      </w:pPr>
      <w:r>
        <w:t xml:space="preserve">Attn: Director of Administration, Ms. Aigul Nurlanova</w:t>
      </w:r>
    </w:p>
    <w:p>
      <w:pPr>
        <w:pStyle w:val="BodyText"/>
      </w:pPr>
      <w:r>
        <w:t xml:space="preserve">BIN: 990740056789</w:t>
      </w:r>
    </w:p>
    <w:p>
      <w:pPr>
        <w:pStyle w:val="BodyText"/>
      </w:pPr>
      <w:r>
        <w:t xml:space="preserve">Phone: +7 (727) 312-4567</w:t>
      </w:r>
    </w:p>
    <w:bookmarkEnd w:id="22"/>
    <w:bookmarkStart w:id="23" w:name="service-provider"/>
    <w:p>
      <w:pPr>
        <w:pStyle w:val="Heading3"/>
      </w:pPr>
      <w:r>
        <w:t xml:space="preserve">Service Provider</w:t>
      </w:r>
    </w:p>
    <w:p>
      <w:pPr>
        <w:pStyle w:val="FirstParagraph"/>
      </w:pPr>
      <w:r>
        <w:rPr>
          <w:bCs/>
          <w:b/>
        </w:rPr>
        <w:t xml:space="preserve">Almaty Educational Services LLP</w:t>
      </w:r>
    </w:p>
    <w:p>
      <w:pPr>
        <w:pStyle w:val="BodyText"/>
      </w:pPr>
      <w:r>
        <w:t xml:space="preserve">145 Abai Avenue, Almaty, 050040, Kazakhstan</w:t>
      </w:r>
    </w:p>
    <w:p>
      <w:pPr>
        <w:pStyle w:val="BodyText"/>
      </w:pPr>
      <w:r>
        <w:t xml:space="preserve">Attn: Accounts Department</w:t>
      </w:r>
    </w:p>
    <w:p>
      <w:pPr>
        <w:pStyle w:val="BodyText"/>
      </w:pPr>
      <w:r>
        <w:t xml:space="preserve">BIN: 990740012345</w:t>
      </w:r>
    </w:p>
    <w:p>
      <w:pPr>
        <w:pStyle w:val="BodyText"/>
      </w:pPr>
      <w:r>
        <w:t xml:space="preserve">Bank: Jusan Bank, Almaty Branch</w:t>
      </w:r>
    </w:p>
    <w:p>
      <w:pPr>
        <w:pStyle w:val="BodyText"/>
      </w:pPr>
      <w:r>
        <w:t xml:space="preserve">IBAN: KZ88 9910 0000 1234 5678 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Subject</w:t>
            </w:r>
          </w:p>
        </w:tc>
        <w:tc>
          <w:tcPr/>
          <w:p>
            <w:pPr>
              <w:pStyle w:val="Compact"/>
              <w:jc w:val="left"/>
            </w:pPr>
            <w:r>
              <w:t xml:space="preserve">Hours</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Teacher Secondary – Mathematics Instruction (Grades 9–11)</w:t>
            </w:r>
          </w:p>
        </w:tc>
        <w:tc>
          <w:tcPr/>
          <w:p>
            <w:pPr>
              <w:pStyle w:val="Compact"/>
              <w:jc w:val="left"/>
            </w:pPr>
            <w:r>
              <w:t xml:space="preserve">Mathematics</w:t>
            </w:r>
          </w:p>
        </w:tc>
        <w:tc>
          <w:tcPr/>
          <w:p>
            <w:pPr>
              <w:pStyle w:val="Compact"/>
              <w:jc w:val="left"/>
            </w:pPr>
            <w:r>
              <w:t xml:space="preserve">120</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2</w:t>
            </w:r>
          </w:p>
        </w:tc>
        <w:tc>
          <w:tcPr/>
          <w:p>
            <w:pPr>
              <w:pStyle w:val="Compact"/>
              <w:jc w:val="left"/>
            </w:pPr>
            <w:r>
              <w:t xml:space="preserve">Teacher Secondary – Physics Laboratory Supervision (Grades 10–11)</w:t>
            </w:r>
          </w:p>
        </w:tc>
        <w:tc>
          <w:tcPr/>
          <w:p>
            <w:pPr>
              <w:pStyle w:val="Compact"/>
              <w:jc w:val="left"/>
            </w:pPr>
            <w:r>
              <w:t xml:space="preserve">Physics</w:t>
            </w:r>
          </w:p>
        </w:tc>
        <w:tc>
          <w:tcPr/>
          <w:p>
            <w:pPr>
              <w:pStyle w:val="Compact"/>
              <w:jc w:val="left"/>
            </w:pPr>
            <w:r>
              <w:t xml:space="preserve">80</w:t>
            </w:r>
          </w:p>
        </w:tc>
        <w:tc>
          <w:tcPr/>
          <w:p>
            <w:pPr>
              <w:pStyle w:val="Compact"/>
              <w:jc w:val="left"/>
            </w:pPr>
            <w:r>
              <w:t xml:space="preserve">4,000.00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Teacher Secondary – English Language &amp; Literature (Grades 8–11)</w:t>
            </w:r>
          </w:p>
        </w:tc>
        <w:tc>
          <w:tcPr/>
          <w:p>
            <w:pPr>
              <w:pStyle w:val="Compact"/>
              <w:jc w:val="left"/>
            </w:pPr>
            <w:r>
              <w:t xml:space="preserve">English</w:t>
            </w:r>
          </w:p>
        </w:tc>
        <w:tc>
          <w:tcPr/>
          <w:p>
            <w:pPr>
              <w:pStyle w:val="Compact"/>
              <w:jc w:val="left"/>
            </w:pPr>
            <w:r>
              <w:t xml:space="preserve">100</w:t>
            </w:r>
          </w:p>
        </w:tc>
        <w:tc>
          <w:tcPr/>
          <w:p>
            <w:pPr>
              <w:pStyle w:val="Compact"/>
              <w:jc w:val="left"/>
            </w:pPr>
            <w:r>
              <w:t xml:space="preserve">3,800.00</w:t>
            </w:r>
          </w:p>
        </w:tc>
        <w:tc>
          <w:tcPr/>
          <w:p>
            <w:pPr>
              <w:pStyle w:val="Compact"/>
              <w:jc w:val="left"/>
            </w:pPr>
            <w:r>
              <w:t xml:space="preserve">380,000.00</w:t>
            </w:r>
          </w:p>
        </w:tc>
      </w:tr>
      <w:tr>
        <w:tc>
          <w:tcPr/>
          <w:p>
            <w:pPr>
              <w:pStyle w:val="Compact"/>
              <w:jc w:val="left"/>
            </w:pPr>
            <w:r>
              <w:t xml:space="preserve">4</w:t>
            </w:r>
          </w:p>
        </w:tc>
        <w:tc>
          <w:tcPr/>
          <w:p>
            <w:pPr>
              <w:pStyle w:val="Compact"/>
              <w:jc w:val="left"/>
            </w:pPr>
            <w:r>
              <w:t xml:space="preserve">Teacher Secondary – History &amp; Social Studies (Grades 9–11)</w:t>
            </w:r>
          </w:p>
        </w:tc>
        <w:tc>
          <w:tcPr/>
          <w:p>
            <w:pPr>
              <w:pStyle w:val="Compact"/>
              <w:jc w:val="left"/>
            </w:pPr>
            <w:r>
              <w:t xml:space="preserve">History</w:t>
            </w:r>
          </w:p>
        </w:tc>
        <w:tc>
          <w:tcPr/>
          <w:p>
            <w:pPr>
              <w:pStyle w:val="Compact"/>
              <w:jc w:val="left"/>
            </w:pPr>
            <w:r>
              <w:t xml:space="preserve">90</w:t>
            </w:r>
          </w:p>
        </w:tc>
        <w:tc>
          <w:tcPr/>
          <w:p>
            <w:pPr>
              <w:pStyle w:val="Compact"/>
              <w:jc w:val="left"/>
            </w:pPr>
            <w:r>
              <w:t xml:space="preserve">3,500.00</w:t>
            </w:r>
          </w:p>
        </w:tc>
        <w:tc>
          <w:tcPr/>
          <w:p>
            <w:pPr>
              <w:pStyle w:val="Compact"/>
              <w:jc w:val="left"/>
            </w:pPr>
            <w:r>
              <w:t xml:space="preserve">315,000.00</w:t>
            </w:r>
          </w:p>
        </w:tc>
      </w:tr>
      <w:tr>
        <w:tc>
          <w:tcPr/>
          <w:p>
            <w:pPr>
              <w:pStyle w:val="Compact"/>
              <w:jc w:val="left"/>
            </w:pPr>
            <w:r>
              <w:t xml:space="preserve">5</w:t>
            </w:r>
          </w:p>
        </w:tc>
        <w:tc>
          <w:tcPr/>
          <w:p>
            <w:pPr>
              <w:pStyle w:val="Compact"/>
              <w:jc w:val="left"/>
            </w:pPr>
            <w:r>
              <w:t xml:space="preserve">Teacher Secondary – Curriculum Development &amp; Assessment Design</w:t>
            </w:r>
          </w:p>
        </w:tc>
        <w:tc>
          <w:tcPr/>
          <w:p>
            <w:pPr>
              <w:pStyle w:val="Compact"/>
              <w:jc w:val="left"/>
            </w:pPr>
            <w:r>
              <w:t xml:space="preserve">Administration</w:t>
            </w:r>
          </w:p>
        </w:tc>
        <w:tc>
          <w:tcPr/>
          <w:p>
            <w:pPr>
              <w:pStyle w:val="Compact"/>
              <w:jc w:val="left"/>
            </w:pPr>
            <w:r>
              <w:t xml:space="preserve">40</w:t>
            </w:r>
          </w:p>
        </w:tc>
        <w:tc>
          <w:tcPr/>
          <w:p>
            <w:pPr>
              <w:pStyle w:val="Compact"/>
              <w:jc w:val="left"/>
            </w:pPr>
            <w:r>
              <w:t xml:space="preserve">5,000.00</w:t>
            </w:r>
          </w:p>
        </w:tc>
        <w:tc>
          <w:tcPr/>
          <w:p>
            <w:pPr>
              <w:pStyle w:val="Compact"/>
              <w:jc w:val="left"/>
            </w:pPr>
            <w:r>
              <w:t xml:space="preserve">200,000.00</w:t>
            </w:r>
          </w:p>
        </w:tc>
      </w:tr>
      <w:tr>
        <w:tc>
          <w:tcPr/>
          <w:p>
            <w:pPr>
              <w:pStyle w:val="Compact"/>
              <w:jc w:val="left"/>
            </w:pPr>
            <w:r>
              <w:t xml:space="preserve">6</w:t>
            </w:r>
          </w:p>
        </w:tc>
        <w:tc>
          <w:tcPr/>
          <w:p>
            <w:pPr>
              <w:pStyle w:val="Compact"/>
              <w:jc w:val="left"/>
            </w:pPr>
            <w:r>
              <w:t xml:space="preserve">Teacher Secondary – Extracurricular Club Supervision (STEM Club)</w:t>
            </w:r>
          </w:p>
        </w:tc>
        <w:tc>
          <w:tcPr/>
          <w:p>
            <w:pPr>
              <w:pStyle w:val="Compact"/>
              <w:jc w:val="left"/>
            </w:pPr>
            <w:r>
              <w:t xml:space="preserve">STEM</w:t>
            </w:r>
          </w:p>
        </w:tc>
        <w:tc>
          <w:tcPr/>
          <w:p>
            <w:pPr>
              <w:pStyle w:val="Compact"/>
              <w:jc w:val="left"/>
            </w:pPr>
            <w:r>
              <w:t xml:space="preserve">30</w:t>
            </w:r>
          </w:p>
        </w:tc>
        <w:tc>
          <w:tcPr/>
          <w:p>
            <w:pPr>
              <w:pStyle w:val="Compact"/>
              <w:jc w:val="left"/>
            </w:pPr>
            <w:r>
              <w:t xml:space="preserve">3,000.00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Teacher Secondary – Parent-Teacher Conference Facilitation</w:t>
            </w:r>
          </w:p>
        </w:tc>
        <w:tc>
          <w:tcPr/>
          <w:p>
            <w:pPr>
              <w:pStyle w:val="Compact"/>
              <w:jc w:val="left"/>
            </w:pPr>
            <w:r>
              <w:t xml:space="preserve">Administration</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1,779,000.00 KZT</w:t>
            </w:r>
          </w:p>
        </w:tc>
      </w:tr>
      <w:tr>
        <w:tc>
          <w:tcPr/>
          <w:p>
            <w:pPr>
              <w:pStyle w:val="Compact"/>
              <w:jc w:val="left"/>
            </w:pPr>
            <w:r>
              <w:t xml:space="preserve">VAT (12% – Kazakhstan Standard Rate)</w:t>
            </w:r>
          </w:p>
        </w:tc>
        <w:tc>
          <w:tcPr/>
          <w:p>
            <w:pPr>
              <w:pStyle w:val="Compact"/>
              <w:jc w:val="left"/>
            </w:pPr>
            <w:r>
              <w:t xml:space="preserve">213,480.00 KZT</w:t>
            </w:r>
          </w:p>
        </w:tc>
      </w:tr>
      <w:tr>
        <w:tc>
          <w:tcPr/>
          <w:p>
            <w:pPr>
              <w:pStyle w:val="Compact"/>
              <w:jc w:val="left"/>
            </w:pPr>
            <w:r>
              <w:t xml:space="preserve">Discount (Early Payment – 2%)</w:t>
            </w:r>
          </w:p>
        </w:tc>
        <w:tc>
          <w:tcPr/>
          <w:p>
            <w:pPr>
              <w:pStyle w:val="Compact"/>
              <w:jc w:val="left"/>
            </w:pPr>
            <w:r>
              <w:t xml:space="preserve">-35,580.00 KZT</w:t>
            </w:r>
          </w:p>
        </w:tc>
      </w:tr>
      <w:tr>
        <w:tc>
          <w:tcPr/>
          <w:p>
            <w:pPr>
              <w:pStyle w:val="Compact"/>
              <w:jc w:val="left"/>
            </w:pPr>
            <w:r>
              <w:t xml:space="preserve">TOTAL AMOUNT DUE</w:t>
            </w:r>
          </w:p>
        </w:tc>
        <w:tc>
          <w:tcPr/>
          <w:p>
            <w:pPr>
              <w:pStyle w:val="Compact"/>
              <w:jc w:val="left"/>
            </w:pPr>
            <w:r>
              <w:t xml:space="preserve">1,956,900.00 KZT</w:t>
            </w:r>
          </w:p>
        </w:tc>
      </w:tr>
    </w:tbl>
    <w:bookmarkStart w:id="24" w:name="payment-instructions"/>
    <w:p>
      <w:pPr>
        <w:pStyle w:val="Heading3"/>
      </w:pPr>
      <w:r>
        <w:t xml:space="preserve">Payment Instructions</w:t>
      </w:r>
    </w:p>
    <w:p>
      <w:pPr>
        <w:pStyle w:val="FirstParagraph"/>
      </w:pPr>
      <w:r>
        <w:t xml:space="preserve">This Invoice must be settled in full by the due date of 30 June 2025. Payment should be made via bank transfer to the account of Almaty Educational Services LLP at Jusan Bank, Almaty Branch. Please reference Invoice number AES-2025-00487 in the payment memo. All amounts are denominated in Kazakhstani Tenge (KZT). Late payments are subject to a penalty of 0.1% per calendar day as stipulated under the Civil Code of the Republic of Kazakhstan.</w:t>
      </w:r>
    </w:p>
    <w:p>
      <w:pPr>
        <w:pStyle w:val="BodyText"/>
      </w:pPr>
      <w:r>
        <w:t xml:space="preserve">Beneficiary: Almaty Educational Services LLP | IBAN: KZ88 9910 0000 1234 5678 90 | BIC: JUSAKZKA</w:t>
      </w:r>
    </w:p>
    <w:bookmarkEnd w:id="24"/>
    <w:bookmarkStart w:id="25" w:name="terms-conditions-notes"/>
    <w:p>
      <w:pPr>
        <w:pStyle w:val="Heading3"/>
      </w:pPr>
      <w:r>
        <w:t xml:space="preserve">Terms, Conditions &amp; Notes</w:t>
      </w:r>
    </w:p>
    <w:p>
      <w:pPr>
        <w:numPr>
          <w:ilvl w:val="0"/>
          <w:numId w:val="1001"/>
        </w:numPr>
        <w:pStyle w:val="Compact"/>
      </w:pPr>
      <w:r>
        <w:t xml:space="preserve">This Invoice covers all Teacher Secondary services rendered during the month of June 2025 at Al-Farabi Secondary School No. 42, located in the city of Almaty, Kazakhstan. All instructional hours were logged and verified by the school administration.</w:t>
      </w:r>
    </w:p>
    <w:p>
      <w:pPr>
        <w:numPr>
          <w:ilvl w:val="0"/>
          <w:numId w:val="1001"/>
        </w:numPr>
        <w:pStyle w:val="Compact"/>
      </w:pPr>
      <w:r>
        <w:t xml:space="preserve">The Teacher Secondary personnel assigned to this engagement hold valid pedagogical certifications issued by the Ministry of Education and Science of the Republic of Kazakhstan and meet all qualification standards for secondary-level instruction in Almaty.</w:t>
      </w:r>
    </w:p>
    <w:p>
      <w:pPr>
        <w:numPr>
          <w:ilvl w:val="0"/>
          <w:numId w:val="1001"/>
        </w:numPr>
        <w:pStyle w:val="Compact"/>
      </w:pPr>
      <w:r>
        <w:t xml:space="preserve">Services described in this Invoice comply with the national curriculum framework established for secondary education institutions in Kazakhstan Almaty and the broader Almaty region.</w:t>
      </w:r>
    </w:p>
    <w:p>
      <w:pPr>
        <w:numPr>
          <w:ilvl w:val="0"/>
          <w:numId w:val="1001"/>
        </w:numPr>
        <w:pStyle w:val="Compact"/>
      </w:pPr>
      <w:r>
        <w:t xml:space="preserve">The VAT rate of 12% applied herein is in accordance with the Tax Code of the Republic of Kazakhstan, Chapter 14, as amended for the 2025 fiscal year.</w:t>
      </w:r>
    </w:p>
    <w:p>
      <w:pPr>
        <w:numPr>
          <w:ilvl w:val="0"/>
          <w:numId w:val="1001"/>
        </w:numPr>
        <w:pStyle w:val="Compact"/>
      </w:pPr>
      <w:r>
        <w:t xml:space="preserve">Any disputes arising from this Invoice shall be resolved through the Arbitration Court of Almaty City, Kazakhstan, in accordance with applicable Kazakhstani commercial law.</w:t>
      </w:r>
    </w:p>
    <w:p>
      <w:pPr>
        <w:numPr>
          <w:ilvl w:val="0"/>
          <w:numId w:val="1001"/>
        </w:numPr>
        <w:pStyle w:val="Compact"/>
      </w:pPr>
      <w:r>
        <w:t xml:space="preserve">This Invoice is valid for 90 days from the issue date. After this period, the Invoice may be reissued with updated pricing if applicable.</w:t>
      </w:r>
    </w:p>
    <w:p>
      <w:pPr>
        <w:numPr>
          <w:ilvl w:val="0"/>
          <w:numId w:val="1001"/>
        </w:numPr>
        <w:pStyle w:val="Compact"/>
      </w:pPr>
      <w:r>
        <w:t xml:space="preserve">Almaty Educational Services LLP reserves the right to audit service delivery records. The billed Teacher Secondary hours are supported by attendance registers and lesson plans filed with the school's administrative office.</w:t>
      </w:r>
    </w:p>
    <w:bookmarkEnd w:id="25"/>
    <w:p>
      <w:pPr>
        <w:pStyle w:val="FirstParagraph"/>
      </w:pPr>
      <w:r>
        <w:rPr>
          <w:bCs/>
          <w:b/>
        </w:rPr>
        <w:t xml:space="preserve">Almaty Educational Services LLP</w:t>
      </w:r>
      <w:r>
        <w:t xml:space="preserve"> </w:t>
      </w:r>
      <w:r>
        <w:t xml:space="preserve">– Providing Quality Teacher Secondary Services Across Kazakhstan Almaty Since 2012</w:t>
      </w:r>
    </w:p>
    <w:p>
      <w:pPr>
        <w:pStyle w:val="BodyText"/>
      </w:pPr>
      <w:r>
        <w:t xml:space="preserve">Registered Address: 145 Abai Avenue, Almaty, 050040, Republic of Kazakhstan</w:t>
      </w:r>
    </w:p>
    <w:p>
      <w:pPr>
        <w:pStyle w:val="BodyText"/>
      </w:pPr>
      <w:r>
        <w:t xml:space="preserve">This Invoice was generated electronically and is valid without a physical signature in accordance with the Law of the Republic of Kazakhstan "On Electronic Documents and Electronic Interactions."</w:t>
      </w:r>
    </w:p>
    <w:p>
      <w:pPr>
        <w:pStyle w:val="BodyText"/>
      </w:pPr>
      <w:r>
        <w:t xml:space="preserve">Document Reference: AES-2025-00487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Kazakhstan Almaty</dc:title>
  <dc:creator/>
  <dc:language>en</dc:language>
  <cp:keywords/>
  <dcterms:created xsi:type="dcterms:W3CDTF">2026-10-10T04:40:50Z</dcterms:created>
  <dcterms:modified xsi:type="dcterms:W3CDTF">2026-10-10T04:40:50Z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