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Teacher</w:t>
      </w:r>
      <w:r>
        <w:t xml:space="preserve"> </w:t>
      </w:r>
      <w:r>
        <w:t xml:space="preserve">Secondary</w:t>
      </w:r>
      <w:r>
        <w:t xml:space="preserve"> </w:t>
      </w:r>
      <w:r>
        <w:t xml:space="preserve">Services</w:t>
      </w:r>
      <w:r>
        <w:t xml:space="preserve"> </w:t>
      </w:r>
      <w:r>
        <w:t xml:space="preserve">-</w:t>
      </w:r>
      <w:r>
        <w:t xml:space="preserve"> </w:t>
      </w:r>
      <w:r>
        <w:t xml:space="preserve">Morocco</w:t>
      </w:r>
      <w:r>
        <w:t xml:space="preserve"> </w:t>
      </w:r>
      <w:r>
        <w:t xml:space="preserve">Casablanca</w:t>
      </w:r>
    </w:p>
    <w:bookmarkStart w:id="20" w:name="invoice"/>
    <w:p>
      <w:pPr>
        <w:pStyle w:val="Heading1"/>
      </w:pPr>
      <w:r>
        <w:t xml:space="preserve">INVOICE</w:t>
      </w:r>
    </w:p>
    <w:p>
      <w:pPr>
        <w:pStyle w:val="FirstParagraph"/>
      </w:pPr>
      <w:r>
        <w:t xml:space="preserve">Teacher Secondary Educational Services</w:t>
      </w:r>
    </w:p>
    <w:p>
      <w:pPr>
        <w:pStyle w:val="BodyText"/>
      </w:pPr>
      <w:r>
        <w:t xml:space="preserve">Morocco Casablanca</w:t>
      </w:r>
    </w:p>
    <w:bookmarkEnd w:id="20"/>
    <w:p>
      <w:pPr>
        <w:pStyle w:val="BodyText"/>
      </w:pPr>
      <w:r>
        <w:rPr>
          <w:bCs/>
          <w:b/>
        </w:rPr>
        <w:t xml:space="preserve">Invoice Number:</w:t>
      </w:r>
      <w:r>
        <w:t xml:space="preserve"> </w:t>
      </w:r>
      <w:r>
        <w:t xml:space="preserve">INV-CAS-2025-04782</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Moroccan Dirham (MAD)</w:t>
      </w:r>
    </w:p>
    <w:bookmarkStart w:id="21" w:name="service-provider-teacher-secondary"/>
    <w:p>
      <w:pPr>
        <w:pStyle w:val="Heading3"/>
      </w:pPr>
      <w:r>
        <w:t xml:space="preserve">Service Provider (Teacher Secondary)</w:t>
      </w:r>
    </w:p>
    <w:p>
      <w:pPr>
        <w:pStyle w:val="FirstParagraph"/>
      </w:pPr>
      <w:r>
        <w:rPr>
          <w:bCs/>
          <w:b/>
        </w:rPr>
        <w:t xml:space="preserve">Name:</w:t>
      </w:r>
      <w:r>
        <w:t xml:space="preserve"> </w:t>
      </w:r>
      <w:r>
        <w:t xml:space="preserve">Mr. Youssef El Amrani</w:t>
      </w:r>
    </w:p>
    <w:p>
      <w:pPr>
        <w:pStyle w:val="BodyText"/>
      </w:pPr>
      <w:r>
        <w:rPr>
          <w:bCs/>
          <w:b/>
        </w:rPr>
        <w:t xml:space="preserve">Role:</w:t>
      </w:r>
      <w:r>
        <w:t xml:space="preserve"> </w:t>
      </w:r>
      <w:r>
        <w:t xml:space="preserve">Teacher Secondary – Mathematics &amp; Physics</w:t>
      </w:r>
    </w:p>
    <w:p>
      <w:pPr>
        <w:pStyle w:val="BodyText"/>
      </w:pPr>
      <w:r>
        <w:rPr>
          <w:bCs/>
          <w:b/>
        </w:rPr>
        <w:t xml:space="preserve">Qualification:</w:t>
      </w:r>
      <w:r>
        <w:t xml:space="preserve"> </w:t>
      </w:r>
      <w:r>
        <w:t xml:space="preserve">Diplôme d'État, Agrégation</w:t>
      </w:r>
    </w:p>
    <w:p>
      <w:pPr>
        <w:pStyle w:val="BodyText"/>
      </w:pPr>
      <w:r>
        <w:rPr>
          <w:bCs/>
          <w:b/>
        </w:rPr>
        <w:t xml:space="preserve">Address:</w:t>
      </w:r>
      <w:r>
        <w:t xml:space="preserve"> </w:t>
      </w:r>
      <w:r>
        <w:t xml:space="preserve">45, Rue des Orangers, Quartier Maârif</w:t>
      </w:r>
    </w:p>
    <w:p>
      <w:pPr>
        <w:pStyle w:val="BodyText"/>
      </w:pPr>
      <w:r>
        <w:rPr>
          <w:bCs/>
          <w:b/>
        </w:rPr>
        <w:t xml:space="preserve">City:</w:t>
      </w:r>
      <w:r>
        <w:t xml:space="preserve"> </w:t>
      </w:r>
      <w:r>
        <w:t xml:space="preserve">Casablanca, Morocco</w:t>
      </w:r>
    </w:p>
    <w:p>
      <w:pPr>
        <w:pStyle w:val="BodyText"/>
      </w:pPr>
      <w:r>
        <w:rPr>
          <w:bCs/>
          <w:b/>
        </w:rPr>
        <w:t xml:space="preserve">Phone:</w:t>
      </w:r>
      <w:r>
        <w:t xml:space="preserve"> </w:t>
      </w:r>
      <w:r>
        <w:t xml:space="preserve">+212 6 61 23 45 67</w:t>
      </w:r>
    </w:p>
    <w:p>
      <w:pPr>
        <w:pStyle w:val="BodyText"/>
      </w:pPr>
      <w:r>
        <w:rPr>
          <w:bCs/>
          <w:b/>
        </w:rPr>
        <w:t xml:space="preserve">Email:</w:t>
      </w:r>
      <w:r>
        <w:t xml:space="preserve"> </w:t>
      </w:r>
      <w:r>
        <w:t xml:space="preserve">y.elamrani.teacher@casablanca-edu.ma</w:t>
      </w:r>
    </w:p>
    <w:p>
      <w:pPr>
        <w:pStyle w:val="BodyText"/>
      </w:pPr>
      <w:r>
        <w:rPr>
          <w:bCs/>
          <w:b/>
        </w:rPr>
        <w:t xml:space="preserve">ICE (Tax ID):</w:t>
      </w:r>
      <w:r>
        <w:t xml:space="preserve"> </w:t>
      </w:r>
      <w:r>
        <w:t xml:space="preserve">002345678000091</w:t>
      </w:r>
    </w:p>
    <w:bookmarkEnd w:id="21"/>
    <w:bookmarkStart w:id="22" w:name="bill-to-client-institution"/>
    <w:p>
      <w:pPr>
        <w:pStyle w:val="Heading3"/>
      </w:pPr>
      <w:r>
        <w:t xml:space="preserve">Bill To (Client / Institution)</w:t>
      </w:r>
    </w:p>
    <w:p>
      <w:pPr>
        <w:pStyle w:val="FirstParagraph"/>
      </w:pPr>
      <w:r>
        <w:rPr>
          <w:bCs/>
          <w:b/>
        </w:rPr>
        <w:t xml:space="preserve">Institution:</w:t>
      </w:r>
      <w:r>
        <w:t xml:space="preserve"> </w:t>
      </w:r>
      <w:r>
        <w:t xml:space="preserve">Lycée Privé Al Khawarizmi</w:t>
      </w:r>
    </w:p>
    <w:p>
      <w:pPr>
        <w:pStyle w:val="BodyText"/>
      </w:pPr>
      <w:r>
        <w:rPr>
          <w:bCs/>
          <w:b/>
        </w:rPr>
        <w:t xml:space="preserve">Department:</w:t>
      </w:r>
      <w:r>
        <w:t xml:space="preserve"> </w:t>
      </w:r>
      <w:r>
        <w:t xml:space="preserve">Secondary Education Division</w:t>
      </w:r>
    </w:p>
    <w:p>
      <w:pPr>
        <w:pStyle w:val="BodyText"/>
      </w:pPr>
      <w:r>
        <w:rPr>
          <w:bCs/>
          <w:b/>
        </w:rPr>
        <w:t xml:space="preserve">Address:</w:t>
      </w:r>
      <w:r>
        <w:t xml:space="preserve"> </w:t>
      </w:r>
      <w:r>
        <w:t xml:space="preserve">12, Boulevard Zerktouni, Quartier Gauthier</w:t>
      </w:r>
    </w:p>
    <w:p>
      <w:pPr>
        <w:pStyle w:val="BodyText"/>
      </w:pPr>
      <w:r>
        <w:rPr>
          <w:bCs/>
          <w:b/>
        </w:rPr>
        <w:t xml:space="preserve">City:</w:t>
      </w:r>
      <w:r>
        <w:t xml:space="preserve"> </w:t>
      </w:r>
      <w:r>
        <w:t xml:space="preserve">Casablanca, Morocco</w:t>
      </w:r>
    </w:p>
    <w:p>
      <w:pPr>
        <w:pStyle w:val="BodyText"/>
      </w:pPr>
      <w:r>
        <w:rPr>
          <w:bCs/>
          <w:b/>
        </w:rPr>
        <w:t xml:space="preserve">Phone:</w:t>
      </w:r>
      <w:r>
        <w:t xml:space="preserve"> </w:t>
      </w:r>
      <w:r>
        <w:t xml:space="preserve">+212 5 22 34 56 78</w:t>
      </w:r>
    </w:p>
    <w:p>
      <w:pPr>
        <w:pStyle w:val="BodyText"/>
      </w:pPr>
      <w:r>
        <w:rPr>
          <w:bCs/>
          <w:b/>
        </w:rPr>
        <w:t xml:space="preserve">Email:</w:t>
      </w:r>
      <w:r>
        <w:t xml:space="preserve"> </w:t>
      </w:r>
      <w:r>
        <w:t xml:space="preserve">finance@alkhawarizmi-casa.ma</w:t>
      </w:r>
    </w:p>
    <w:p>
      <w:pPr>
        <w:pStyle w:val="BodyText"/>
      </w:pPr>
      <w:r>
        <w:rPr>
          <w:bCs/>
          <w:b/>
        </w:rPr>
        <w:t xml:space="preserve">ICE (Tax ID):</w:t>
      </w:r>
      <w:r>
        <w:t xml:space="preserve"> </w:t>
      </w:r>
      <w:r>
        <w:t xml:space="preserve">004567890000123</w:t>
      </w:r>
    </w:p>
    <w:bookmarkEnd w:id="22"/>
    <w:bookmarkStart w:id="25" w:name="Xe1e321fcc0cf0a20a6dc6a1ee3e9e018063c843"/>
    <w:p>
      <w:pPr>
        <w:pStyle w:val="Heading2"/>
      </w:pPr>
      <w:r>
        <w:t xml:space="preserve">Invoice Line Items – Teacher Secondary Services Rendered in Morocco Casablanca</w:t>
      </w:r>
    </w:p>
    <w:p>
      <w:pPr>
        <w:pStyle w:val="FirstParagraph"/>
      </w:pPr>
      <w:r>
        <w:t xml:space="preserve">The following Invoice details the professional services provided by the Teacher Secondary during the academic period of May 2025 to June 2025, delivered at the institution's premises in Casablanca, Morocco.</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(MAD/hr)</w:t>
            </w:r>
          </w:p>
        </w:tc>
        <w:tc>
          <w:tcPr/>
          <w:p>
            <w:pPr>
              <w:pStyle w:val="Compact"/>
              <w:jc w:val="left"/>
            </w:pPr>
            <w:r>
              <w:t xml:space="preserve">Amount (MAD)</w:t>
            </w:r>
          </w:p>
        </w:tc>
      </w:tr>
      <w:tr>
        <w:tc>
          <w:tcPr/>
          <w:p>
            <w:pPr>
              <w:pStyle w:val="Compact"/>
              <w:jc w:val="left"/>
            </w:pPr>
            <w:r>
              <w:t xml:space="preserve">01</w:t>
            </w:r>
          </w:p>
        </w:tc>
        <w:tc>
          <w:tcPr/>
          <w:p>
            <w:pPr>
              <w:pStyle w:val="Compact"/>
              <w:jc w:val="left"/>
            </w:pPr>
            <w:r>
              <w:t xml:space="preserve">Teacher Secondary – Mathematics instruction for Tronc Commun (10th grade), covering algebraic functions and geometric transformations as per the Moroccan national curriculum.</w:t>
            </w:r>
          </w:p>
        </w:tc>
        <w:tc>
          <w:tcPr/>
          <w:p>
            <w:pPr>
              <w:pStyle w:val="Compact"/>
              <w:jc w:val="left"/>
            </w:pPr>
            <w:r>
              <w:t xml:space="preserve">May 2025</w:t>
            </w:r>
          </w:p>
        </w:tc>
        <w:tc>
          <w:tcPr/>
          <w:p>
            <w:pPr>
              <w:pStyle w:val="Compact"/>
              <w:jc w:val="left"/>
            </w:pPr>
            <w:r>
              <w:t xml:space="preserve">48</w:t>
            </w:r>
          </w:p>
        </w:tc>
        <w:tc>
          <w:tcPr/>
          <w:p>
            <w:pPr>
              <w:pStyle w:val="Compact"/>
              <w:jc w:val="left"/>
            </w:pPr>
            <w:r>
              <w:t xml:space="preserve">180.00</w:t>
            </w:r>
          </w:p>
        </w:tc>
        <w:tc>
          <w:tcPr/>
          <w:p>
            <w:pPr>
              <w:pStyle w:val="Compact"/>
              <w:jc w:val="left"/>
            </w:pPr>
            <w:r>
              <w:t xml:space="preserve">8,640.00</w:t>
            </w:r>
          </w:p>
        </w:tc>
      </w:tr>
      <w:tr>
        <w:tc>
          <w:tcPr/>
          <w:p>
            <w:pPr>
              <w:pStyle w:val="Compact"/>
              <w:jc w:val="left"/>
            </w:pPr>
            <w:r>
              <w:t xml:space="preserve">02</w:t>
            </w:r>
          </w:p>
        </w:tc>
        <w:tc>
          <w:tcPr/>
          <w:p>
            <w:pPr>
              <w:pStyle w:val="Compact"/>
              <w:jc w:val="left"/>
            </w:pPr>
            <w:r>
              <w:t xml:space="preserve">Teacher Secondary – Physics and Chemistry laboratory supervision for 1ère Bac Sciences Exérimentales, including practical sessions on electrical circuits and chemical reactions.</w:t>
            </w:r>
          </w:p>
        </w:tc>
        <w:tc>
          <w:tcPr/>
          <w:p>
            <w:pPr>
              <w:pStyle w:val="Compact"/>
              <w:jc w:val="left"/>
            </w:pPr>
            <w:r>
              <w:t xml:space="preserve">May 2025</w:t>
            </w:r>
          </w:p>
        </w:tc>
        <w:tc>
          <w:tcPr/>
          <w:p>
            <w:pPr>
              <w:pStyle w:val="Compact"/>
              <w:jc w:val="left"/>
            </w:pPr>
            <w:r>
              <w:t xml:space="preserve">32</w:t>
            </w:r>
          </w:p>
        </w:tc>
        <w:tc>
          <w:tcPr/>
          <w:p>
            <w:pPr>
              <w:pStyle w:val="Compact"/>
              <w:jc w:val="left"/>
            </w:pPr>
            <w:r>
              <w:t xml:space="preserve">220.00</w:t>
            </w:r>
          </w:p>
        </w:tc>
        <w:tc>
          <w:tcPr/>
          <w:p>
            <w:pPr>
              <w:pStyle w:val="Compact"/>
              <w:jc w:val="left"/>
            </w:pPr>
            <w:r>
              <w:t xml:space="preserve">7,040.00</w:t>
            </w:r>
          </w:p>
        </w:tc>
      </w:tr>
      <w:tr>
        <w:tc>
          <w:tcPr/>
          <w:p>
            <w:pPr>
              <w:pStyle w:val="Compact"/>
              <w:jc w:val="left"/>
            </w:pPr>
            <w:r>
              <w:t xml:space="preserve">03</w:t>
            </w:r>
          </w:p>
        </w:tc>
        <w:tc>
          <w:tcPr/>
          <w:p>
            <w:pPr>
              <w:pStyle w:val="Compact"/>
              <w:jc w:val="left"/>
            </w:pPr>
            <w:r>
              <w:t xml:space="preserve">Teacher Secondary – Remedial and enrichment sessions for students preparing for the Baccalauréat national examination, delivered in the Casablanca district of Gauthier.</w:t>
            </w:r>
          </w:p>
        </w:tc>
        <w:tc>
          <w:tcPr/>
          <w:p>
            <w:pPr>
              <w:pStyle w:val="Compact"/>
              <w:jc w:val="left"/>
            </w:pPr>
            <w:r>
              <w:t xml:space="preserve">June 2025</w:t>
            </w:r>
          </w:p>
        </w:tc>
        <w:tc>
          <w:tcPr/>
          <w:p>
            <w:pPr>
              <w:pStyle w:val="Compact"/>
              <w:jc w:val="left"/>
            </w:pPr>
            <w:r>
              <w:t xml:space="preserve">24</w:t>
            </w:r>
          </w:p>
        </w:tc>
        <w:tc>
          <w:tcPr/>
          <w:p>
            <w:pPr>
              <w:pStyle w:val="Compact"/>
              <w:jc w:val="left"/>
            </w:pPr>
            <w:r>
              <w:t xml:space="preserve">250.00</w:t>
            </w:r>
          </w:p>
        </w:tc>
        <w:tc>
          <w:tcPr/>
          <w:p>
            <w:pPr>
              <w:pStyle w:val="Compact"/>
              <w:jc w:val="left"/>
            </w:pPr>
            <w:r>
              <w:t xml:space="preserve">6,000.00</w:t>
            </w:r>
          </w:p>
        </w:tc>
      </w:tr>
      <w:tr>
        <w:tc>
          <w:tcPr/>
          <w:p>
            <w:pPr>
              <w:pStyle w:val="Compact"/>
              <w:jc w:val="left"/>
            </w:pPr>
            <w:r>
              <w:t xml:space="preserve">04</w:t>
            </w:r>
          </w:p>
        </w:tc>
        <w:tc>
          <w:tcPr/>
          <w:p>
            <w:pPr>
              <w:pStyle w:val="Compact"/>
              <w:jc w:val="left"/>
            </w:pPr>
            <w:r>
              <w:t xml:space="preserve">Teacher Secondary – Curriculum development and assessment design for the secondary cycle, aligned with the Ministry of National Education guidelines for Morocco Casablanca academic zones.</w:t>
            </w:r>
          </w:p>
        </w:tc>
        <w:tc>
          <w:tcPr/>
          <w:p>
            <w:pPr>
              <w:pStyle w:val="Compact"/>
              <w:jc w:val="left"/>
            </w:pPr>
            <w:r>
              <w:t xml:space="preserve">June 2025</w:t>
            </w:r>
          </w:p>
        </w:tc>
        <w:tc>
          <w:tcPr/>
          <w:p>
            <w:pPr>
              <w:pStyle w:val="Compact"/>
              <w:jc w:val="left"/>
            </w:pPr>
            <w:r>
              <w:t xml:space="preserve">16</w:t>
            </w:r>
          </w:p>
        </w:tc>
        <w:tc>
          <w:tcPr/>
          <w:p>
            <w:pPr>
              <w:pStyle w:val="Compact"/>
              <w:jc w:val="left"/>
            </w:pPr>
            <w:r>
              <w:t xml:space="preserve">300.00</w:t>
            </w:r>
          </w:p>
        </w:tc>
        <w:tc>
          <w:tcPr/>
          <w:p>
            <w:pPr>
              <w:pStyle w:val="Compact"/>
              <w:jc w:val="left"/>
            </w:pPr>
            <w:r>
              <w:t xml:space="preserve">4,800.00</w:t>
            </w:r>
          </w:p>
        </w:tc>
      </w:tr>
      <w:tr>
        <w:tc>
          <w:tcPr/>
          <w:p>
            <w:pPr>
              <w:pStyle w:val="Compact"/>
              <w:jc w:val="left"/>
            </w:pPr>
            <w:r>
              <w:t xml:space="preserve">05</w:t>
            </w:r>
          </w:p>
        </w:tc>
        <w:tc>
          <w:tcPr/>
          <w:p>
            <w:pPr>
              <w:pStyle w:val="Compact"/>
              <w:jc w:val="left"/>
            </w:pPr>
            <w:r>
              <w:t xml:space="preserve">Teacher Secondary – Parent-teacher conference facilitation and individual student progress reporting for the secondary division, conducted at the Lycée Al Khawarizmi campus in Casablanca.</w:t>
            </w:r>
          </w:p>
        </w:tc>
        <w:tc>
          <w:tcPr/>
          <w:p>
            <w:pPr>
              <w:pStyle w:val="Compact"/>
              <w:jc w:val="left"/>
            </w:pPr>
            <w:r>
              <w:t xml:space="preserve">June 2025</w:t>
            </w:r>
          </w:p>
        </w:tc>
        <w:tc>
          <w:tcPr/>
          <w:p>
            <w:pPr>
              <w:pStyle w:val="Compact"/>
              <w:jc w:val="left"/>
            </w:pPr>
            <w:r>
              <w:t xml:space="preserve">8</w:t>
            </w:r>
          </w:p>
        </w:tc>
        <w:tc>
          <w:tcPr/>
          <w:p>
            <w:pPr>
              <w:pStyle w:val="Compact"/>
              <w:jc w:val="left"/>
            </w:pPr>
            <w:r>
              <w:t xml:space="preserve">200.00</w:t>
            </w:r>
          </w:p>
        </w:tc>
        <w:tc>
          <w:tcPr/>
          <w:p>
            <w:pPr>
              <w:pStyle w:val="Compact"/>
              <w:jc w:val="left"/>
            </w:pPr>
            <w:r>
              <w:t xml:space="preserve">1,600.00</w:t>
            </w:r>
          </w:p>
        </w:tc>
      </w:tr>
      <w:tr>
        <w:tc>
          <w:tcPr/>
          <w:p>
            <w:pPr>
              <w:pStyle w:val="Compact"/>
              <w:jc w:val="left"/>
            </w:pPr>
            <w:r>
              <w:t xml:space="preserve">06</w:t>
            </w:r>
          </w:p>
        </w:tc>
        <w:tc>
          <w:tcPr/>
          <w:p>
            <w:pPr>
              <w:pStyle w:val="Compact"/>
              <w:jc w:val="left"/>
            </w:pPr>
            <w:r>
              <w:t xml:space="preserve">Teacher Secondary – Professional development workshop participation and peer mentoring for newly appointed secondary teachers in the Casablanca Academy of Casablanca.</w:t>
            </w:r>
          </w:p>
        </w:tc>
        <w:tc>
          <w:tcPr/>
          <w:p>
            <w:pPr>
              <w:pStyle w:val="Compact"/>
              <w:jc w:val="left"/>
            </w:pPr>
            <w:r>
              <w:t xml:space="preserve">June 2025</w:t>
            </w:r>
          </w:p>
        </w:tc>
        <w:tc>
          <w:tcPr/>
          <w:p>
            <w:pPr>
              <w:pStyle w:val="Compact"/>
              <w:jc w:val="left"/>
            </w:pPr>
            <w:r>
              <w:t xml:space="preserve">12</w:t>
            </w:r>
          </w:p>
        </w:tc>
        <w:tc>
          <w:tcPr/>
          <w:p>
            <w:pPr>
              <w:pStyle w:val="Compact"/>
              <w:jc w:val="left"/>
            </w:pPr>
            <w:r>
              <w:t xml:space="preserve">280.00</w:t>
            </w:r>
          </w:p>
        </w:tc>
        <w:tc>
          <w:tcPr/>
          <w:p>
            <w:pPr>
              <w:pStyle w:val="Compact"/>
              <w:jc w:val="left"/>
            </w:pPr>
            <w:r>
              <w:t xml:space="preserve">3,360.00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31,440.00 MAD</w:t>
            </w:r>
          </w:p>
        </w:tc>
      </w:tr>
      <w:tr>
        <w:tc>
          <w:tcPr/>
          <w:p>
            <w:pPr>
              <w:pStyle w:val="Compact"/>
              <w:jc w:val="left"/>
            </w:pPr>
            <w:r>
              <w:t xml:space="preserve">VAT (TVA) – 20%</w:t>
            </w:r>
          </w:p>
        </w:tc>
        <w:tc>
          <w:tcPr/>
          <w:p>
            <w:pPr>
              <w:pStyle w:val="Compact"/>
              <w:jc w:val="right"/>
            </w:pPr>
            <w:r>
              <w:t xml:space="preserve">6,288.00 MAD</w:t>
            </w:r>
          </w:p>
        </w:tc>
      </w:tr>
      <w:tr>
        <w:tc>
          <w:tcPr/>
          <w:p>
            <w:pPr>
              <w:pStyle w:val="Compact"/>
              <w:jc w:val="left"/>
            </w:pPr>
            <w:r>
              <w:t xml:space="preserve">Withholding Tax (Retenue à la source) – 15%</w:t>
            </w:r>
          </w:p>
        </w:tc>
        <w:tc>
          <w:tcPr/>
          <w:p>
            <w:pPr>
              <w:pStyle w:val="Compact"/>
              <w:jc w:val="right"/>
            </w:pPr>
            <w:r>
              <w:t xml:space="preserve">(4,716.00) MAD</w:t>
            </w:r>
          </w:p>
        </w:tc>
      </w:tr>
      <w:tr>
        <w:tc>
          <w:tcPr/>
          <w:p>
            <w:pPr>
              <w:pStyle w:val="Compact"/>
              <w:jc w:val="left"/>
            </w:pPr>
            <w:r>
              <w:t xml:space="preserve">Net Amount Due</w:t>
            </w:r>
          </w:p>
        </w:tc>
        <w:tc>
          <w:tcPr/>
          <w:p>
            <w:pPr>
              <w:pStyle w:val="Compact"/>
              <w:jc w:val="right"/>
            </w:pPr>
            <w:r>
              <w:t xml:space="preserve">33,012.00 MAD</w:t>
            </w:r>
          </w:p>
        </w:tc>
      </w:tr>
    </w:tbl>
    <w:bookmarkStart w:id="23" w:name="invoice-notes-payment-instructions"/>
    <w:p>
      <w:pPr>
        <w:pStyle w:val="Heading3"/>
      </w:pPr>
      <w:r>
        <w:t xml:space="preserve">Invoice Notes &amp; Payment Instructions</w:t>
      </w:r>
    </w:p>
    <w:p>
      <w:pPr>
        <w:pStyle w:val="FirstParagraph"/>
      </w:pPr>
      <w:r>
        <w:t xml:space="preserve">This Invoice is issued in accordance with the professional services agreement between the Teacher Secondary and Lycée Privé Al Khawarizmi, registered under the jurisdiction of the Casablanca Court of First Instance, Morocco.</w:t>
      </w:r>
    </w:p>
    <w:p>
      <w:pPr>
        <w:pStyle w:val="BodyText"/>
      </w:pPr>
      <w:r>
        <w:rPr>
          <w:bCs/>
          <w:b/>
        </w:rPr>
        <w:t xml:space="preserve">Payment Method:</w:t>
      </w:r>
      <w:r>
        <w:t xml:space="preserve"> </w:t>
      </w:r>
      <w:r>
        <w:t xml:space="preserve">Bank transfer to the following account:</w:t>
      </w:r>
    </w:p>
    <w:p>
      <w:pPr>
        <w:pStyle w:val="BodyText"/>
      </w:pPr>
      <w:r>
        <w:rPr>
          <w:bCs/>
          <w:b/>
        </w:rPr>
        <w:t xml:space="preserve">Bank:</w:t>
      </w:r>
      <w:r>
        <w:t xml:space="preserve"> </w:t>
      </w:r>
      <w:r>
        <w:t xml:space="preserve">Banque Populaire, Agence Maârif, Casablanca</w:t>
      </w:r>
    </w:p>
    <w:p>
      <w:pPr>
        <w:pStyle w:val="BodyText"/>
      </w:pPr>
      <w:r>
        <w:rPr>
          <w:bCs/>
          <w:b/>
        </w:rPr>
        <w:t xml:space="preserve">IBAN:</w:t>
      </w:r>
      <w:r>
        <w:t xml:space="preserve"> </w:t>
      </w:r>
      <w:r>
        <w:t xml:space="preserve">MA64 6038 0000 0123 4567 8901 2345</w:t>
      </w:r>
    </w:p>
    <w:p>
      <w:pPr>
        <w:pStyle w:val="BodyText"/>
      </w:pPr>
      <w:r>
        <w:rPr>
          <w:bCs/>
          <w:b/>
        </w:rPr>
        <w:t xml:space="preserve">Reference:</w:t>
      </w:r>
      <w:r>
        <w:t xml:space="preserve"> </w:t>
      </w:r>
      <w:r>
        <w:t xml:space="preserve">INV-CAS-2025-04782 – Teacher Secondary Services</w:t>
      </w:r>
    </w:p>
    <w:p>
      <w:pPr>
        <w:pStyle w:val="BodyText"/>
      </w:pPr>
      <w:r>
        <w:t xml:space="preserve">Please ensure that the reference number is included in the transfer memo to facilitate reconciliation of this Invoice. Late payments beyond the due date of 30 June 2025 shall incur a penalty of 1.5% per month as stipulated in the service contract.</w:t>
      </w:r>
    </w:p>
    <w:bookmarkEnd w:id="23"/>
    <w:bookmarkStart w:id="24" w:name="Xb789520f5cb171fd94312a62523f3239dcd5918"/>
    <w:p>
      <w:pPr>
        <w:pStyle w:val="Heading3"/>
      </w:pPr>
      <w:r>
        <w:t xml:space="preserve">Terms and Conditions – Teacher Secondary Invoice, Morocco Casablanca</w:t>
      </w:r>
    </w:p>
    <w:p>
      <w:pPr>
        <w:numPr>
          <w:ilvl w:val="0"/>
          <w:numId w:val="1001"/>
        </w:numPr>
        <w:pStyle w:val="Compact"/>
      </w:pPr>
      <w:r>
        <w:t xml:space="preserve">This Invoice constitutes a formal request for payment for Teacher Secondary educational services rendered during the specified period. All services were delivered in compliance with the pedagogical standards set by the Moroccan Ministry of National Education, Preschool, Primary and Secondary Education.</w:t>
      </w:r>
    </w:p>
    <w:p>
      <w:pPr>
        <w:numPr>
          <w:ilvl w:val="0"/>
          <w:numId w:val="1001"/>
        </w:numPr>
        <w:pStyle w:val="Compact"/>
      </w:pPr>
      <w:r>
        <w:t xml:space="preserve">The Teacher Secondary confirms that all instructional content, laboratory materials, and assessment instruments referenced in this Invoice were prepared and delivered at the institution's facilities located in Casablanca, Morocco, in full adherence to the agreed-upon syllabus and academic calendar.</w:t>
      </w:r>
    </w:p>
    <w:p>
      <w:pPr>
        <w:numPr>
          <w:ilvl w:val="0"/>
          <w:numId w:val="1001"/>
        </w:numPr>
        <w:pStyle w:val="Compact"/>
      </w:pPr>
      <w:r>
        <w:t xml:space="preserve">Payment of this Invoice is due within fifteen (15) calendar days from the issue date. The withholding tax of 15% has been deducted at source in accordance with Moroccan tax regulations applicable to professional service providers in the education sector.</w:t>
      </w:r>
    </w:p>
    <w:p>
      <w:pPr>
        <w:numPr>
          <w:ilvl w:val="0"/>
          <w:numId w:val="1001"/>
        </w:numPr>
        <w:pStyle w:val="Compact"/>
      </w:pPr>
      <w:r>
        <w:t xml:space="preserve">Any disputes arising from this Invoice shall be resolved through amicable negotiation between the parties. Should resolution not be achieved within thirty (30) days, the matter shall be submitted to the competent commercial court in Casablanca, Morocco.</w:t>
      </w:r>
    </w:p>
    <w:p>
      <w:pPr>
        <w:numPr>
          <w:ilvl w:val="0"/>
          <w:numId w:val="1001"/>
        </w:numPr>
        <w:pStyle w:val="Compact"/>
      </w:pPr>
      <w:r>
        <w:t xml:space="preserve">The Teacher Secondary reserves the right to suspend further services if payment of this Invoice or any prior outstanding Invoice remains unsettled beyond the stipulated due date. All intellectual property rights pertaining to lesson plans, assessment tools, and curriculum materials developed as part of these services remain the property of the Teacher Secondary unless otherwise agreed in writing.</w:t>
      </w:r>
    </w:p>
    <w:p>
      <w:pPr>
        <w:numPr>
          <w:ilvl w:val="0"/>
          <w:numId w:val="1001"/>
        </w:numPr>
        <w:pStyle w:val="Compact"/>
      </w:pPr>
      <w:r>
        <w:t xml:space="preserve">This Invoice is valid for a period of ninety (90) days from the issue date. After this period, the amounts stated herein may be subject to revision based on prevailing economic conditions in Morocco Casablanca.</w:t>
      </w:r>
    </w:p>
    <w:bookmarkEnd w:id="24"/>
    <w:p>
      <w:pPr>
        <w:pStyle w:val="FirstParagraph"/>
      </w:pPr>
      <w:r>
        <w:rPr>
          <w:bCs/>
          <w:b/>
        </w:rPr>
        <w:t xml:space="preserve">Teacher Secondary Services – Invoice Document</w:t>
      </w:r>
    </w:p>
    <w:p>
      <w:pPr>
        <w:pStyle w:val="BodyText"/>
      </w:pPr>
      <w:r>
        <w:t xml:space="preserve">Issued in Casablanca, Morocco | Academic Year 2024–2025 | Invoice Reference: INV-CAS-2025-04782</w:t>
      </w:r>
    </w:p>
    <w:p>
      <w:pPr>
        <w:pStyle w:val="BodyText"/>
      </w:pPr>
      <w:r>
        <w:t xml:space="preserve">This document is generated electronically and is valid without a physical signature. For verification, contact the issuing Teacher Secondary at the address stated above.</w:t>
      </w:r>
    </w:p>
    <w:p>
      <w:pPr>
        <w:pStyle w:val="BodyText"/>
      </w:pPr>
      <w:r>
        <w:t xml:space="preserve">© 2025 – All rights reserved. This Invoice is the property of the issuing Teacher Secondary and the receiving institution in Casablanca, Morocco.</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Teacher Secondary Services - Morocco Casablanca</dc:title>
  <dc:creator/>
  <dc:language>en</dc:language>
  <cp:keywords/>
  <dcterms:created xsi:type="dcterms:W3CDTF">2026-10-10T00:36:35Z</dcterms:created>
  <dcterms:modified xsi:type="dcterms:W3CDTF">2026-10-10T00:36:35Z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