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Teacher</w:t>
      </w:r>
      <w:r>
        <w:t xml:space="preserve"> </w:t>
      </w:r>
      <w:r>
        <w:t xml:space="preserve">Secondary</w:t>
      </w:r>
      <w:r>
        <w:t xml:space="preserve"> </w:t>
      </w:r>
      <w:r>
        <w:t xml:space="preserve">Services</w:t>
      </w:r>
      <w:r>
        <w:t xml:space="preserve"> </w:t>
      </w:r>
      <w:r>
        <w:t xml:space="preserve">-</w:t>
      </w:r>
      <w:r>
        <w:t xml:space="preserve"> </w:t>
      </w:r>
      <w:r>
        <w:t xml:space="preserve">Pakistan</w:t>
      </w:r>
      <w:r>
        <w:t xml:space="preserve"> </w:t>
      </w:r>
      <w:r>
        <w:t xml:space="preserve">Islamabad</w:t>
      </w:r>
    </w:p>
    <w:bookmarkStart w:id="20" w:name="islamabad-secondary-education-board"/>
    <w:p>
      <w:pPr>
        <w:pStyle w:val="Heading1"/>
      </w:pPr>
      <w:r>
        <w:t xml:space="preserve">Islamabad Secondary Education Board</w:t>
      </w:r>
    </w:p>
    <w:p>
      <w:pPr>
        <w:pStyle w:val="FirstParagraph"/>
      </w:pPr>
      <w:r>
        <w:t xml:space="preserve">Office of the Director General</w:t>
      </w:r>
    </w:p>
    <w:p>
      <w:pPr>
        <w:pStyle w:val="BodyText"/>
      </w:pPr>
      <w:r>
        <w:t xml:space="preserve">Plot 45, Sector F-10/2, Islamabad, Pakistan</w:t>
      </w:r>
    </w:p>
    <w:p>
      <w:pPr>
        <w:pStyle w:val="BodyText"/>
      </w:pPr>
      <w:r>
        <w:t xml:space="preserve">Phone: +92-51-920-XXXX | Email: accounts@iseb.gov.pk</w:t>
      </w:r>
    </w:p>
    <w:p>
      <w:pPr>
        <w:pStyle w:val="BodyText"/>
      </w:pPr>
      <w:r>
        <w:t xml:space="preserve">NTN: 1234567-8 | FBR Registration: PK-ISEB-2024</w:t>
      </w:r>
    </w:p>
    <w:p>
      <w:pPr>
        <w:pStyle w:val="BodyText"/>
      </w:pPr>
      <w:r>
        <w:t xml:space="preserve">Pakistan Islamabad</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ISEB/TS/2025/00472</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rPr>
          <w:bCs/>
          <w:b/>
        </w:rPr>
        <w:t xml:space="preserve">Service Period:</w:t>
      </w:r>
      <w:r>
        <w:t xml:space="preserve"> </w:t>
      </w:r>
      <w:r>
        <w:t xml:space="preserve">April 2025 – June 2025</w:t>
      </w:r>
    </w:p>
    <w:bookmarkEnd w:id="21"/>
    <w:bookmarkStart w:id="22" w:name="billed-to"/>
    <w:p>
      <w:pPr>
        <w:pStyle w:val="Heading3"/>
      </w:pPr>
      <w:r>
        <w:t xml:space="preserve">Billed To</w:t>
      </w:r>
    </w:p>
    <w:p>
      <w:pPr>
        <w:pStyle w:val="FirstParagraph"/>
      </w:pPr>
      <w:r>
        <w:rPr>
          <w:bCs/>
          <w:b/>
        </w:rPr>
        <w:t xml:space="preserve">Islamabad Capital Territory Education Department</w:t>
      </w:r>
    </w:p>
    <w:p>
      <w:pPr>
        <w:pStyle w:val="BodyText"/>
      </w:pPr>
      <w:r>
        <w:t xml:space="preserve">Head Office, I-9/2, Islamabad, Pakistan</w:t>
      </w:r>
    </w:p>
    <w:p>
      <w:pPr>
        <w:pStyle w:val="BodyText"/>
      </w:pPr>
      <w:r>
        <w:t xml:space="preserve">Attn: Director, Secondary Education Division</w:t>
      </w:r>
    </w:p>
    <w:p>
      <w:pPr>
        <w:pStyle w:val="BodyText"/>
      </w:pPr>
      <w:r>
        <w:t xml:space="preserve">Reference: ICT/SED/2025/Procurement/0891</w:t>
      </w:r>
    </w:p>
    <w:bookmarkEnd w:id="22"/>
    <w:bookmarkStart w:id="23" w:name="service-provider"/>
    <w:p>
      <w:pPr>
        <w:pStyle w:val="Heading3"/>
      </w:pPr>
      <w:r>
        <w:t xml:space="preserve">Service Provider</w:t>
      </w:r>
    </w:p>
    <w:p>
      <w:pPr>
        <w:pStyle w:val="FirstParagraph"/>
      </w:pPr>
      <w:r>
        <w:rPr>
          <w:bCs/>
          <w:b/>
        </w:rPr>
        <w:t xml:space="preserve">Ms. Ayesha Khan, Teacher Secondary</w:t>
      </w:r>
    </w:p>
    <w:p>
      <w:pPr>
        <w:pStyle w:val="BodyText"/>
      </w:pPr>
      <w:r>
        <w:t xml:space="preserve">Designation: Senior Teacher Secondary (Mathematics &amp; Physics)</w:t>
      </w:r>
    </w:p>
    <w:p>
      <w:pPr>
        <w:pStyle w:val="BodyText"/>
      </w:pPr>
      <w:r>
        <w:t xml:space="preserve">Assigned School: Govt. Secondary School, G-11, Islamabad</w:t>
      </w:r>
    </w:p>
    <w:p>
      <w:pPr>
        <w:pStyle w:val="BodyText"/>
      </w:pPr>
      <w:r>
        <w:t xml:space="preserve">Employee ID: TS-ICT-2019-0456</w:t>
      </w:r>
    </w:p>
    <w:p>
      <w:pPr>
        <w:pStyle w:val="BodyText"/>
      </w:pPr>
      <w:r>
        <w:t xml:space="preserve">Bank: HBL, Account: 0012-3456-7890-1234</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Category</w:t>
            </w:r>
          </w:p>
        </w:tc>
        <w:tc>
          <w:tcPr/>
          <w:p>
            <w:pPr>
              <w:pStyle w:val="Compact"/>
              <w:jc w:val="left"/>
            </w:pPr>
            <w:r>
              <w:t xml:space="preserve">Qty</w:t>
            </w:r>
          </w:p>
        </w:tc>
        <w:tc>
          <w:tcPr/>
          <w:p>
            <w:pPr>
              <w:pStyle w:val="Compact"/>
              <w:jc w:val="left"/>
            </w:pPr>
            <w:r>
              <w:t xml:space="preserve">Rate (PKR)</w:t>
            </w:r>
          </w:p>
        </w:tc>
        <w:tc>
          <w:tcPr/>
          <w:p>
            <w:pPr>
              <w:pStyle w:val="Compact"/>
              <w:jc w:val="left"/>
            </w:pPr>
            <w:r>
              <w:t xml:space="preserve">Amount (PKR)</w:t>
            </w:r>
          </w:p>
        </w:tc>
      </w:tr>
      <w:tr>
        <w:tc>
          <w:tcPr/>
          <w:p>
            <w:pPr>
              <w:pStyle w:val="Compact"/>
              <w:jc w:val="left"/>
            </w:pPr>
            <w:r>
              <w:t xml:space="preserve">1</w:t>
            </w:r>
          </w:p>
        </w:tc>
        <w:tc>
          <w:tcPr/>
          <w:p>
            <w:pPr>
              <w:pStyle w:val="Compact"/>
              <w:jc w:val="left"/>
            </w:pPr>
            <w:r>
              <w:t xml:space="preserve">Monthly salary disbursement for Teacher Secondary – Mathematics &amp; Physics (Grade BPS-17), Islamabad Secondary School, G-11</w:t>
            </w:r>
          </w:p>
        </w:tc>
        <w:tc>
          <w:tcPr/>
          <w:p>
            <w:pPr>
              <w:pStyle w:val="Compact"/>
              <w:jc w:val="left"/>
            </w:pPr>
            <w:r>
              <w:t xml:space="preserve">Base Salary</w:t>
            </w:r>
          </w:p>
        </w:tc>
        <w:tc>
          <w:tcPr/>
          <w:p>
            <w:pPr>
              <w:pStyle w:val="Compact"/>
              <w:jc w:val="left"/>
            </w:pPr>
            <w:r>
              <w:t xml:space="preserve">3</w:t>
            </w:r>
          </w:p>
        </w:tc>
        <w:tc>
          <w:tcPr/>
          <w:p>
            <w:pPr>
              <w:pStyle w:val="Compact"/>
              <w:jc w:val="left"/>
            </w:pPr>
            <w:r>
              <w:t xml:space="preserve">85,000.00</w:t>
            </w:r>
          </w:p>
        </w:tc>
        <w:tc>
          <w:tcPr/>
          <w:p>
            <w:pPr>
              <w:pStyle w:val="Compact"/>
              <w:jc w:val="left"/>
            </w:pPr>
            <w:r>
              <w:t xml:space="preserve">255,000.00</w:t>
            </w:r>
          </w:p>
        </w:tc>
      </w:tr>
      <w:tr>
        <w:tc>
          <w:tcPr/>
          <w:p>
            <w:pPr>
              <w:pStyle w:val="Compact"/>
              <w:jc w:val="left"/>
            </w:pPr>
            <w:r>
              <w:t xml:space="preserve">2</w:t>
            </w:r>
          </w:p>
        </w:tc>
        <w:tc>
          <w:tcPr/>
          <w:p>
            <w:pPr>
              <w:pStyle w:val="Compact"/>
              <w:jc w:val="left"/>
            </w:pPr>
            <w:r>
              <w:t xml:space="preserve">House Rent Allowance (HRA) for Teacher Secondary stationed in Pakistan Islamabad metropolitan area</w:t>
            </w:r>
          </w:p>
        </w:tc>
        <w:tc>
          <w:tcPr/>
          <w:p>
            <w:pPr>
              <w:pStyle w:val="Compact"/>
              <w:jc w:val="left"/>
            </w:pPr>
            <w:r>
              <w:t xml:space="preserve">Allowance</w:t>
            </w:r>
          </w:p>
        </w:tc>
        <w:tc>
          <w:tcPr/>
          <w:p>
            <w:pPr>
              <w:pStyle w:val="Compact"/>
              <w:jc w:val="left"/>
            </w:pPr>
            <w:r>
              <w:t xml:space="preserve">3</w:t>
            </w:r>
          </w:p>
        </w:tc>
        <w:tc>
          <w:tcPr/>
          <w:p>
            <w:pPr>
              <w:pStyle w:val="Compact"/>
              <w:jc w:val="left"/>
            </w:pPr>
            <w:r>
              <w:t xml:space="preserve">42,500.00</w:t>
            </w:r>
          </w:p>
        </w:tc>
        <w:tc>
          <w:tcPr/>
          <w:p>
            <w:pPr>
              <w:pStyle w:val="Compact"/>
              <w:jc w:val="left"/>
            </w:pPr>
            <w:r>
              <w:t xml:space="preserve">127,500.00</w:t>
            </w:r>
          </w:p>
        </w:tc>
      </w:tr>
      <w:tr>
        <w:tc>
          <w:tcPr/>
          <w:p>
            <w:pPr>
              <w:pStyle w:val="Compact"/>
              <w:jc w:val="left"/>
            </w:pPr>
            <w:r>
              <w:t xml:space="preserve">3</w:t>
            </w:r>
          </w:p>
        </w:tc>
        <w:tc>
          <w:tcPr/>
          <w:p>
            <w:pPr>
              <w:pStyle w:val="Compact"/>
              <w:jc w:val="left"/>
            </w:pPr>
            <w:r>
              <w:t xml:space="preserve">Conveyance Allowance for daily commute within Islamabad city limits for Teacher Secondary duties</w:t>
            </w:r>
          </w:p>
        </w:tc>
        <w:tc>
          <w:tcPr/>
          <w:p>
            <w:pPr>
              <w:pStyle w:val="Compact"/>
              <w:jc w:val="left"/>
            </w:pPr>
            <w:r>
              <w:t xml:space="preserve">Allowance</w:t>
            </w:r>
          </w:p>
        </w:tc>
        <w:tc>
          <w:tcPr/>
          <w:p>
            <w:pPr>
              <w:pStyle w:val="Compact"/>
              <w:jc w:val="left"/>
            </w:pPr>
            <w:r>
              <w:t xml:space="preserve">3</w:t>
            </w:r>
          </w:p>
        </w:tc>
        <w:tc>
          <w:tcPr/>
          <w:p>
            <w:pPr>
              <w:pStyle w:val="Compact"/>
              <w:jc w:val="left"/>
            </w:pPr>
            <w:r>
              <w:t xml:space="preserve">12,000.00</w:t>
            </w:r>
          </w:p>
        </w:tc>
        <w:tc>
          <w:tcPr/>
          <w:p>
            <w:pPr>
              <w:pStyle w:val="Compact"/>
              <w:jc w:val="left"/>
            </w:pPr>
            <w:r>
              <w:t xml:space="preserve">36,000.00</w:t>
            </w:r>
          </w:p>
        </w:tc>
      </w:tr>
      <w:tr>
        <w:tc>
          <w:tcPr/>
          <w:p>
            <w:pPr>
              <w:pStyle w:val="Compact"/>
              <w:jc w:val="left"/>
            </w:pPr>
            <w:r>
              <w:t xml:space="preserve">4</w:t>
            </w:r>
          </w:p>
        </w:tc>
        <w:tc>
          <w:tcPr/>
          <w:p>
            <w:pPr>
              <w:pStyle w:val="Compact"/>
              <w:jc w:val="left"/>
            </w:pPr>
            <w:r>
              <w:t xml:space="preserve">Medical Allowance as per Pakistan Islamabad government service rules for Teacher Secondary staff</w:t>
            </w:r>
          </w:p>
        </w:tc>
        <w:tc>
          <w:tcPr/>
          <w:p>
            <w:pPr>
              <w:pStyle w:val="Compact"/>
              <w:jc w:val="left"/>
            </w:pPr>
            <w:r>
              <w:t xml:space="preserve">Allowance</w:t>
            </w:r>
          </w:p>
        </w:tc>
        <w:tc>
          <w:tcPr/>
          <w:p>
            <w:pPr>
              <w:pStyle w:val="Compact"/>
              <w:jc w:val="left"/>
            </w:pPr>
            <w:r>
              <w:t xml:space="preserve">3</w:t>
            </w:r>
          </w:p>
        </w:tc>
        <w:tc>
          <w:tcPr/>
          <w:p>
            <w:pPr>
              <w:pStyle w:val="Compact"/>
              <w:jc w:val="left"/>
            </w:pPr>
            <w:r>
              <w:t xml:space="preserve">5,000.00</w:t>
            </w:r>
          </w:p>
        </w:tc>
        <w:tc>
          <w:tcPr/>
          <w:p>
            <w:pPr>
              <w:pStyle w:val="Compact"/>
              <w:jc w:val="left"/>
            </w:pPr>
            <w:r>
              <w:t xml:space="preserve">15,000.00</w:t>
            </w:r>
          </w:p>
        </w:tc>
      </w:tr>
      <w:tr>
        <w:tc>
          <w:tcPr/>
          <w:p>
            <w:pPr>
              <w:pStyle w:val="Compact"/>
              <w:jc w:val="left"/>
            </w:pPr>
            <w:r>
              <w:t xml:space="preserve">5</w:t>
            </w:r>
          </w:p>
        </w:tc>
        <w:tc>
          <w:tcPr/>
          <w:p>
            <w:pPr>
              <w:pStyle w:val="Compact"/>
              <w:jc w:val="left"/>
            </w:pPr>
            <w:r>
              <w:t xml:space="preserve">Performance Bonus – Q1 2025 academic evaluation for Teacher Secondary (exceeding student pass rate targets)</w:t>
            </w:r>
          </w:p>
        </w:tc>
        <w:tc>
          <w:tcPr/>
          <w:p>
            <w:pPr>
              <w:pStyle w:val="Compact"/>
              <w:jc w:val="left"/>
            </w:pPr>
            <w:r>
              <w:t xml:space="preserve">Performance</w:t>
            </w:r>
          </w:p>
        </w:tc>
        <w:tc>
          <w:tcPr/>
          <w:p>
            <w:pPr>
              <w:pStyle w:val="Compact"/>
              <w:jc w:val="left"/>
            </w:pPr>
            <w:r>
              <w:t xml:space="preserve">1</w:t>
            </w:r>
          </w:p>
        </w:tc>
        <w:tc>
          <w:tcPr/>
          <w:p>
            <w:pPr>
              <w:pStyle w:val="Compact"/>
              <w:jc w:val="left"/>
            </w:pPr>
            <w:r>
              <w:t xml:space="preserve">25,000.00</w:t>
            </w:r>
          </w:p>
        </w:tc>
        <w:tc>
          <w:tcPr/>
          <w:p>
            <w:pPr>
              <w:pStyle w:val="Compact"/>
              <w:jc w:val="left"/>
            </w:pPr>
            <w:r>
              <w:t xml:space="preserve">25,000.00</w:t>
            </w:r>
          </w:p>
        </w:tc>
      </w:tr>
      <w:tr>
        <w:tc>
          <w:tcPr/>
          <w:p>
            <w:pPr>
              <w:pStyle w:val="Compact"/>
              <w:jc w:val="left"/>
            </w:pPr>
            <w:r>
              <w:t xml:space="preserve">6</w:t>
            </w:r>
          </w:p>
        </w:tc>
        <w:tc>
          <w:tcPr/>
          <w:p>
            <w:pPr>
              <w:pStyle w:val="Compact"/>
              <w:jc w:val="left"/>
            </w:pPr>
            <w:r>
              <w:t xml:space="preserve">Professional Development Training – "Modern Pedagogy for Secondary Education in Pakistan Islamabad" (3-day workshop, April 2025)</w:t>
            </w:r>
          </w:p>
        </w:tc>
        <w:tc>
          <w:tcPr/>
          <w:p>
            <w:pPr>
              <w:pStyle w:val="Compact"/>
              <w:jc w:val="left"/>
            </w:pPr>
            <w:r>
              <w:t xml:space="preserve">Training</w:t>
            </w:r>
          </w:p>
        </w:tc>
        <w:tc>
          <w:tcPr/>
          <w:p>
            <w:pPr>
              <w:pStyle w:val="Compact"/>
              <w:jc w:val="left"/>
            </w:pPr>
            <w:r>
              <w:t xml:space="preserve">1</w:t>
            </w:r>
          </w:p>
        </w:tc>
        <w:tc>
          <w:tcPr/>
          <w:p>
            <w:pPr>
              <w:pStyle w:val="Compact"/>
              <w:jc w:val="left"/>
            </w:pPr>
            <w:r>
              <w:t xml:space="preserve">18,000.00</w:t>
            </w:r>
          </w:p>
        </w:tc>
        <w:tc>
          <w:tcPr/>
          <w:p>
            <w:pPr>
              <w:pStyle w:val="Compact"/>
              <w:jc w:val="left"/>
            </w:pPr>
            <w:r>
              <w:t xml:space="preserve">18,000.00</w:t>
            </w:r>
          </w:p>
        </w:tc>
      </w:tr>
      <w:tr>
        <w:tc>
          <w:tcPr/>
          <w:p>
            <w:pPr>
              <w:pStyle w:val="Compact"/>
              <w:jc w:val="left"/>
            </w:pPr>
            <w:r>
              <w:t xml:space="preserve">7</w:t>
            </w:r>
          </w:p>
        </w:tc>
        <w:tc>
          <w:tcPr/>
          <w:p>
            <w:pPr>
              <w:pStyle w:val="Compact"/>
              <w:jc w:val="left"/>
            </w:pPr>
            <w:r>
              <w:t xml:space="preserve">Overtime compensation for Teacher Secondary – examination invigilation and paper marking (May 2025 board exams, Islamabad)</w:t>
            </w:r>
          </w:p>
        </w:tc>
        <w:tc>
          <w:tcPr/>
          <w:p>
            <w:pPr>
              <w:pStyle w:val="Compact"/>
              <w:jc w:val="left"/>
            </w:pPr>
            <w:r>
              <w:t xml:space="preserve">Overtime</w:t>
            </w:r>
          </w:p>
        </w:tc>
        <w:tc>
          <w:tcPr/>
          <w:p>
            <w:pPr>
              <w:pStyle w:val="Compact"/>
              <w:jc w:val="left"/>
            </w:pPr>
            <w:r>
              <w:t xml:space="preserve">48</w:t>
            </w:r>
          </w:p>
        </w:tc>
        <w:tc>
          <w:tcPr/>
          <w:p>
            <w:pPr>
              <w:pStyle w:val="Compact"/>
              <w:jc w:val="left"/>
            </w:pPr>
            <w:r>
              <w:t xml:space="preserve">850.00</w:t>
            </w:r>
          </w:p>
        </w:tc>
        <w:tc>
          <w:tcPr/>
          <w:p>
            <w:pPr>
              <w:pStyle w:val="Compact"/>
              <w:jc w:val="left"/>
            </w:pPr>
            <w:r>
              <w:t xml:space="preserve">40,800.00</w:t>
            </w:r>
          </w:p>
        </w:tc>
      </w:tr>
      <w:tr>
        <w:tc>
          <w:tcPr/>
          <w:p>
            <w:pPr>
              <w:pStyle w:val="Compact"/>
              <w:jc w:val="left"/>
            </w:pPr>
            <w:r>
              <w:t xml:space="preserve">8</w:t>
            </w:r>
          </w:p>
        </w:tc>
        <w:tc>
          <w:tcPr/>
          <w:p>
            <w:pPr>
              <w:pStyle w:val="Compact"/>
              <w:jc w:val="left"/>
            </w:pPr>
            <w:r>
              <w:t xml:space="preserve">Reimbursement for classroom teaching materials and laboratory equipment procurement for Teacher Secondary science department</w:t>
            </w:r>
          </w:p>
        </w:tc>
        <w:tc>
          <w:tcPr/>
          <w:p>
            <w:pPr>
              <w:pStyle w:val="Compact"/>
              <w:jc w:val="left"/>
            </w:pPr>
            <w:r>
              <w:t xml:space="preserve">Reimbursement</w:t>
            </w:r>
          </w:p>
        </w:tc>
        <w:tc>
          <w:tcPr/>
          <w:p>
            <w:pPr>
              <w:pStyle w:val="Compact"/>
              <w:jc w:val="left"/>
            </w:pPr>
            <w:r>
              <w:t xml:space="preserve">1</w:t>
            </w:r>
          </w:p>
        </w:tc>
        <w:tc>
          <w:tcPr/>
          <w:p>
            <w:pPr>
              <w:pStyle w:val="Compact"/>
              <w:jc w:val="left"/>
            </w:pPr>
            <w:r>
              <w:t xml:space="preserve">32,500.00</w:t>
            </w:r>
          </w:p>
        </w:tc>
        <w:tc>
          <w:tcPr/>
          <w:p>
            <w:pPr>
              <w:pStyle w:val="Compact"/>
              <w:jc w:val="left"/>
            </w:pPr>
            <w:r>
              <w:t xml:space="preserve">32,500.00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PKR 549,800.00</w:t>
            </w:r>
          </w:p>
        </w:tc>
      </w:tr>
      <w:tr>
        <w:tc>
          <w:tcPr/>
          <w:p>
            <w:pPr>
              <w:pStyle w:val="Compact"/>
              <w:jc w:val="left"/>
            </w:pPr>
            <w:r>
              <w:t xml:space="preserve">General Sales Tax (GST) @ 16% (applicable on allowances &amp; overtime per Pakistan Islamabad tax regulations)</w:t>
            </w:r>
          </w:p>
        </w:tc>
        <w:tc>
          <w:tcPr/>
          <w:p>
            <w:pPr>
              <w:pStyle w:val="Compact"/>
              <w:jc w:val="left"/>
            </w:pPr>
            <w:r>
              <w:t xml:space="preserve">PKR 87,968.00</w:t>
            </w:r>
          </w:p>
        </w:tc>
      </w:tr>
      <w:tr>
        <w:tc>
          <w:tcPr/>
          <w:p>
            <w:pPr>
              <w:pStyle w:val="Compact"/>
              <w:jc w:val="left"/>
            </w:pPr>
            <w:r>
              <w:t xml:space="preserve">Withholding Tax @ 5% (as per FBR Pakistan Islamabad directive for Teacher Secondary government employees)</w:t>
            </w:r>
          </w:p>
        </w:tc>
        <w:tc>
          <w:tcPr/>
          <w:p>
            <w:pPr>
              <w:pStyle w:val="Compact"/>
              <w:jc w:val="left"/>
            </w:pPr>
            <w:r>
              <w:t xml:space="preserve">(PKR 27,490.00)</w:t>
            </w:r>
          </w:p>
        </w:tc>
      </w:tr>
      <w:tr>
        <w:tc>
          <w:tcPr/>
          <w:p>
            <w:pPr>
              <w:pStyle w:val="Compact"/>
              <w:jc w:val="left"/>
            </w:pPr>
            <w:r>
              <w:t xml:space="preserve">SSP Contribution @ 6% (Social Security for Teacher Secondary, Islamabad)</w:t>
            </w:r>
          </w:p>
        </w:tc>
        <w:tc>
          <w:tcPr/>
          <w:p>
            <w:pPr>
              <w:pStyle w:val="Compact"/>
              <w:jc w:val="left"/>
            </w:pPr>
            <w:r>
              <w:t xml:space="preserve">(PKR 32,988.00)</w:t>
            </w:r>
          </w:p>
        </w:tc>
      </w:tr>
      <w:tr>
        <w:tc>
          <w:tcPr/>
          <w:p>
            <w:pPr>
              <w:pStyle w:val="Compact"/>
              <w:jc w:val="left"/>
            </w:pPr>
            <w:r>
              <w:t xml:space="preserve">NET PAYABLE AMOUNT</w:t>
            </w:r>
          </w:p>
        </w:tc>
        <w:tc>
          <w:tcPr/>
          <w:p>
            <w:pPr>
              <w:pStyle w:val="Compact"/>
              <w:jc w:val="left"/>
            </w:pPr>
            <w:r>
              <w:t xml:space="preserve">PKR 577,290.00</w:t>
            </w:r>
          </w:p>
        </w:tc>
      </w:tr>
    </w:tbl>
    <w:bookmarkStart w:id="24" w:name="payment-instructions"/>
    <w:p>
      <w:pPr>
        <w:pStyle w:val="Heading3"/>
      </w:pPr>
      <w:r>
        <w:t xml:space="preserve">Payment Instructions</w:t>
      </w:r>
    </w:p>
    <w:p>
      <w:pPr>
        <w:pStyle w:val="FirstParagraph"/>
      </w:pPr>
      <w:r>
        <w:rPr>
          <w:bCs/>
          <w:b/>
        </w:rPr>
        <w:t xml:space="preserve">Bank:</w:t>
      </w:r>
      <w:r>
        <w:t xml:space="preserve"> </w:t>
      </w:r>
      <w:r>
        <w:t xml:space="preserve">Habib Bank Limited (HBL)</w:t>
      </w:r>
    </w:p>
    <w:p>
      <w:pPr>
        <w:pStyle w:val="BodyText"/>
      </w:pPr>
      <w:r>
        <w:rPr>
          <w:bCs/>
          <w:b/>
        </w:rPr>
        <w:t xml:space="preserve">Branch:</w:t>
      </w:r>
      <w:r>
        <w:t xml:space="preserve"> </w:t>
      </w:r>
      <w:r>
        <w:t xml:space="preserve">F-10, Islamabad, Pakistan</w:t>
      </w:r>
    </w:p>
    <w:p>
      <w:pPr>
        <w:pStyle w:val="BodyText"/>
      </w:pPr>
      <w:r>
        <w:rPr>
          <w:bCs/>
          <w:b/>
        </w:rPr>
        <w:t xml:space="preserve">Account Title:</w:t>
      </w:r>
      <w:r>
        <w:t xml:space="preserve"> </w:t>
      </w:r>
      <w:r>
        <w:t xml:space="preserve">Ayesha Khan (Teacher Secondary)</w:t>
      </w:r>
    </w:p>
    <w:p>
      <w:pPr>
        <w:pStyle w:val="BodyText"/>
      </w:pPr>
      <w:r>
        <w:rPr>
          <w:bCs/>
          <w:b/>
        </w:rPr>
        <w:t xml:space="preserve">IBAN:</w:t>
      </w:r>
      <w:r>
        <w:t xml:space="preserve"> </w:t>
      </w:r>
      <w:r>
        <w:t xml:space="preserve">PK00 HBLA 0012 3456 7890 1234</w:t>
      </w:r>
    </w:p>
    <w:p>
      <w:pPr>
        <w:pStyle w:val="BodyText"/>
      </w:pPr>
      <w:r>
        <w:rPr>
          <w:bCs/>
          <w:b/>
        </w:rPr>
        <w:t xml:space="preserve">SWIFT Code:</w:t>
      </w:r>
      <w:r>
        <w:t xml:space="preserve"> </w:t>
      </w:r>
      <w:r>
        <w:t xml:space="preserve">HBLAPKKK</w:t>
      </w:r>
    </w:p>
    <w:p>
      <w:pPr>
        <w:pStyle w:val="BodyText"/>
      </w:pPr>
      <w:r>
        <w:t xml:space="preserve">Please reference Invoice No. ISEB/TS/2025/00472 on all remittances.</w:t>
      </w:r>
    </w:p>
    <w:bookmarkEnd w:id="24"/>
    <w:bookmarkStart w:id="25" w:name="authorized-signatory"/>
    <w:p>
      <w:pPr>
        <w:pStyle w:val="Heading3"/>
      </w:pPr>
      <w:r>
        <w:t xml:space="preserve">Authorized Signatory</w:t>
      </w:r>
    </w:p>
    <w:p>
      <w:pPr>
        <w:pStyle w:val="FirstParagraph"/>
      </w:pPr>
      <w:r>
        <w:t xml:space="preserve">_______________________________</w:t>
      </w:r>
    </w:p>
    <w:p>
      <w:pPr>
        <w:pStyle w:val="BodyText"/>
      </w:pPr>
      <w:r>
        <w:rPr>
          <w:bCs/>
          <w:b/>
        </w:rPr>
        <w:t xml:space="preserve">Ms. Ayesha Khan</w:t>
      </w:r>
    </w:p>
    <w:p>
      <w:pPr>
        <w:pStyle w:val="BodyText"/>
      </w:pPr>
      <w:r>
        <w:t xml:space="preserve">Teacher Secondary, Grade BPS-17</w:t>
      </w:r>
    </w:p>
    <w:p>
      <w:pPr>
        <w:pStyle w:val="BodyText"/>
      </w:pPr>
      <w:r>
        <w:t xml:space="preserve">Islamabad Secondary Education Board</w:t>
      </w:r>
    </w:p>
    <w:p>
      <w:pPr>
        <w:pStyle w:val="BodyText"/>
      </w:pPr>
      <w:r>
        <w:t xml:space="preserve">Date: 15 June 2025</w:t>
      </w:r>
    </w:p>
    <w:bookmarkEnd w:id="25"/>
    <w:bookmarkStart w:id="26" w:name="terms-and-conditions-of-this-invoice"/>
    <w:p>
      <w:pPr>
        <w:pStyle w:val="Heading3"/>
      </w:pPr>
      <w:r>
        <w:t xml:space="preserve">Terms and Conditions of This Invoice</w:t>
      </w:r>
    </w:p>
    <w:p>
      <w:pPr>
        <w:numPr>
          <w:ilvl w:val="0"/>
          <w:numId w:val="1001"/>
        </w:numPr>
        <w:pStyle w:val="Compact"/>
      </w:pPr>
      <w:r>
        <w:t xml:space="preserve">This Invoice is issued in accordance with the Pakistan Islamabad government procurement and disbursement regulations for Teacher Secondary staff under the Islamabad Capital Territory Education Department.</w:t>
      </w:r>
    </w:p>
    <w:p>
      <w:pPr>
        <w:numPr>
          <w:ilvl w:val="0"/>
          <w:numId w:val="1001"/>
        </w:numPr>
        <w:pStyle w:val="Compact"/>
      </w:pPr>
      <w:r>
        <w:t xml:space="preserve">Payment for this Invoice must be received within fifteen (15) calendar days from the date of issue. Late payments shall attract a penalty of 1.5% per month as per Pakistan Islamabad financial service rules.</w:t>
      </w:r>
    </w:p>
    <w:p>
      <w:pPr>
        <w:numPr>
          <w:ilvl w:val="0"/>
          <w:numId w:val="1001"/>
        </w:numPr>
        <w:pStyle w:val="Compact"/>
      </w:pPr>
      <w:r>
        <w:t xml:space="preserve">All amounts stated in this Invoice are in Pakistani Rupees (PKR) and are subject to applicable tax deductions as mandated by the Federal Board of Revenue (FBR), Pakistan Islamabad.</w:t>
      </w:r>
    </w:p>
    <w:p>
      <w:pPr>
        <w:numPr>
          <w:ilvl w:val="0"/>
          <w:numId w:val="1001"/>
        </w:numPr>
        <w:pStyle w:val="Compact"/>
      </w:pPr>
      <w:r>
        <w:t xml:space="preserve">The Teacher Secondary services rendered during the period of April 2025 to June 2025 have been verified by the Principal, Govt. Secondary School G-11 Islamabad, and the District Education Officer, Islamabad.</w:t>
      </w:r>
    </w:p>
    <w:p>
      <w:pPr>
        <w:numPr>
          <w:ilvl w:val="0"/>
          <w:numId w:val="1001"/>
        </w:numPr>
        <w:pStyle w:val="Compact"/>
      </w:pPr>
      <w:r>
        <w:t xml:space="preserve">Any disputes arising from this Invoice shall be resolved through the Islamabad Capital Territory Education Department grievance mechanism within thirty (30) days of the Invoice date.</w:t>
      </w:r>
    </w:p>
    <w:p>
      <w:pPr>
        <w:numPr>
          <w:ilvl w:val="0"/>
          <w:numId w:val="1001"/>
        </w:numPr>
        <w:pStyle w:val="Compact"/>
      </w:pPr>
      <w:r>
        <w:t xml:space="preserve">This Invoice constitutes the final and complete settlement for all Teacher Secondary compensation, allowances, bonuses, and reimbursements for the stated service period. No further claims shall be entertained for the same period.</w:t>
      </w:r>
    </w:p>
    <w:p>
      <w:pPr>
        <w:numPr>
          <w:ilvl w:val="0"/>
          <w:numId w:val="1001"/>
        </w:numPr>
        <w:pStyle w:val="Compact"/>
      </w:pPr>
      <w:r>
        <w:t xml:space="preserve">The Teacher Secondary named herein confirms that all services were rendered in compliance with the Pakistan Islamabad code of conduct for government educational personnel and that all academic standards set by the Islamabad Secondary Education Board were met.</w:t>
      </w:r>
    </w:p>
    <w:p>
      <w:pPr>
        <w:numPr>
          <w:ilvl w:val="0"/>
          <w:numId w:val="1001"/>
        </w:numPr>
        <w:pStyle w:val="Compact"/>
      </w:pPr>
      <w:r>
        <w:t xml:space="preserve">Retained copies of this Invoice must be maintained by both parties for a minimum of seven (7) years in accordance with Pakistan Islamabad record-keeping regulations for government educational institutions.</w:t>
      </w:r>
    </w:p>
    <w:bookmarkEnd w:id="26"/>
    <w:p>
      <w:pPr>
        <w:pStyle w:val="FirstParagraph"/>
      </w:pPr>
      <w:r>
        <w:rPr>
          <w:bCs/>
          <w:b/>
        </w:rPr>
        <w:t xml:space="preserve">Islamabad Secondary Education Board</w:t>
      </w:r>
      <w:r>
        <w:t xml:space="preserve"> </w:t>
      </w:r>
      <w:r>
        <w:t xml:space="preserve">| Plot 45, Sector F-10/2, Islamabad, Pakistan</w:t>
      </w:r>
    </w:p>
    <w:p>
      <w:pPr>
        <w:pStyle w:val="BodyText"/>
      </w:pPr>
      <w:r>
        <w:t xml:space="preserve">This Invoice was generated electronically and is valid without a physical stamp. For verification, contact the Accounts Division at accounts@iseb.gov.pk or +92-51-920-XXXX.</w:t>
      </w:r>
    </w:p>
    <w:p>
      <w:pPr>
        <w:pStyle w:val="BodyText"/>
      </w:pPr>
      <w:r>
        <w:t xml:space="preserve">Document Reference: ISEB/TS/2025/00472 | Generated: 15 June 2025 | Page 1 of 1</w:t>
      </w:r>
    </w:p>
    <w:p>
      <w:pPr>
        <w:pStyle w:val="BodyText"/>
      </w:pPr>
      <w:r>
        <w:t xml:space="preserve">© 2025 Islamabad Secondary Education Board, Pakistan Islamabad. All rights reserved. This Invoice is the property of the issuing authority and may not be reproduced without written consent.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Teacher Secondary Services - Pakistan Islamabad</dc:title>
  <dc:creator/>
  <dc:language>en</dc:language>
  <cp:keywords/>
  <dcterms:created xsi:type="dcterms:W3CDTF">2026-10-10T04:24:25Z</dcterms:created>
  <dcterms:modified xsi:type="dcterms:W3CDTF">2026-10-10T04:24:25Z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