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Professional Services – Teacher Secondary Education</w:t>
      </w:r>
    </w:p>
    <w:p>
      <w:pPr>
        <w:pStyle w:val="BodyText"/>
      </w:pPr>
      <w:r>
        <w:t xml:space="preserve">Official Document – Peru Lima</w:t>
      </w:r>
    </w:p>
    <w:bookmarkStart w:id="20" w:name="invoice-no.-inv-lim-2025-0047"/>
    <w:p>
      <w:pPr>
        <w:pStyle w:val="Heading3"/>
      </w:pPr>
      <w:r>
        <w:t xml:space="preserve">Invoice No.: INV-LIM-2025-0047</w:t>
      </w:r>
    </w:p>
    <w:p>
      <w:pPr>
        <w:pStyle w:val="FirstParagraph"/>
      </w:pPr>
      <w:r>
        <w:t xml:space="preserve">Date of Issue: June 15, 2025</w:t>
      </w:r>
    </w:p>
    <w:p>
      <w:pPr>
        <w:pStyle w:val="BodyText"/>
      </w:pPr>
      <w:r>
        <w:t xml:space="preserve">Due Date: July 15, 2025</w:t>
      </w:r>
    </w:p>
    <w:p>
      <w:pPr>
        <w:pStyle w:val="BodyText"/>
      </w:pPr>
      <w:r>
        <w:t xml:space="preserve">Payment Terms: Net 30 Days</w:t>
      </w:r>
    </w:p>
    <w:p>
      <w:pPr>
        <w:pStyle w:val="BodyText"/>
      </w:pPr>
      <w:r>
        <w:t xml:space="preserve">Currency: Peruvian Sol (PEN / S/)</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Prof. María Elena Quispe Huamán</w:t>
      </w:r>
    </w:p>
    <w:p>
      <w:pPr>
        <w:pStyle w:val="BodyText"/>
      </w:pPr>
      <w:r>
        <w:rPr>
          <w:bCs/>
          <w:b/>
        </w:rPr>
        <w:t xml:space="preserve">Role:</w:t>
      </w:r>
      <w:r>
        <w:t xml:space="preserve"> </w:t>
      </w:r>
      <w:r>
        <w:t xml:space="preserve">Teacher Secondary – Certified Educator</w:t>
      </w:r>
    </w:p>
    <w:p>
      <w:pPr>
        <w:pStyle w:val="BodyText"/>
      </w:pPr>
      <w:r>
        <w:rPr>
          <w:bCs/>
          <w:b/>
        </w:rPr>
        <w:t xml:space="preserve">RUC:</w:t>
      </w:r>
      <w:r>
        <w:t xml:space="preserve"> </w:t>
      </w:r>
      <w:r>
        <w:t xml:space="preserve">20548736219</w:t>
      </w:r>
    </w:p>
    <w:p>
      <w:pPr>
        <w:pStyle w:val="BodyText"/>
      </w:pPr>
      <w:r>
        <w:rPr>
          <w:bCs/>
          <w:b/>
        </w:rPr>
        <w:t xml:space="preserve">Address:</w:t>
      </w:r>
      <w:r>
        <w:t xml:space="preserve"> </w:t>
      </w:r>
      <w:r>
        <w:t xml:space="preserve">Av. Javier Prado Este 1245, San Isidro,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m.quispe@educalima.pe</w:t>
      </w:r>
    </w:p>
    <w:p>
      <w:pPr>
        <w:pStyle w:val="BodyText"/>
      </w:pPr>
      <w:r>
        <w:rPr>
          <w:bCs/>
          <w:b/>
        </w:rPr>
        <w:t xml:space="preserve">Professional License:</w:t>
      </w:r>
      <w:r>
        <w:t xml:space="preserve"> </w:t>
      </w:r>
      <w:r>
        <w:t xml:space="preserve">CNE No. 458721 (Consejo Nacional de Educación)</w:t>
      </w:r>
    </w:p>
    <w:bookmarkEnd w:id="21"/>
    <w:bookmarkStart w:id="22" w:name="issued-to-client"/>
    <w:p>
      <w:pPr>
        <w:pStyle w:val="Heading4"/>
      </w:pPr>
      <w:r>
        <w:t xml:space="preserve">Issued To (Client)</w:t>
      </w:r>
    </w:p>
    <w:p>
      <w:pPr>
        <w:pStyle w:val="FirstParagraph"/>
      </w:pPr>
      <w:r>
        <w:rPr>
          <w:bCs/>
          <w:b/>
        </w:rPr>
        <w:t xml:space="preserve">Institution:</w:t>
      </w:r>
      <w:r>
        <w:t xml:space="preserve"> </w:t>
      </w:r>
      <w:r>
        <w:t xml:space="preserve">Colegio Nacional de Educación Secundaria "Simón Bolívar"</w:t>
      </w:r>
    </w:p>
    <w:p>
      <w:pPr>
        <w:pStyle w:val="BodyText"/>
      </w:pPr>
      <w:r>
        <w:rPr>
          <w:bCs/>
          <w:b/>
        </w:rPr>
        <w:t xml:space="preserve">RUC:</w:t>
      </w:r>
      <w:r>
        <w:t xml:space="preserve"> </w:t>
      </w:r>
      <w:r>
        <w:t xml:space="preserve">20123456789</w:t>
      </w:r>
    </w:p>
    <w:p>
      <w:pPr>
        <w:pStyle w:val="BodyText"/>
      </w:pPr>
      <w:r>
        <w:rPr>
          <w:bCs/>
          <w:b/>
        </w:rPr>
        <w:t xml:space="preserve">Address:</w:t>
      </w:r>
      <w:r>
        <w:t xml:space="preserve"> </w:t>
      </w:r>
      <w:r>
        <w:t xml:space="preserve">Jr. Puno 892, Miraflores, Lima, Peru</w:t>
      </w:r>
    </w:p>
    <w:p>
      <w:pPr>
        <w:pStyle w:val="BodyText"/>
      </w:pPr>
      <w:r>
        <w:rPr>
          <w:bCs/>
          <w:b/>
        </w:rPr>
        <w:t xml:space="preserve">Phone:</w:t>
      </w:r>
      <w:r>
        <w:t xml:space="preserve"> </w:t>
      </w:r>
      <w:r>
        <w:t xml:space="preserve">+51 1 445 6789</w:t>
      </w:r>
    </w:p>
    <w:p>
      <w:pPr>
        <w:pStyle w:val="BodyText"/>
      </w:pPr>
      <w:r>
        <w:rPr>
          <w:bCs/>
          <w:b/>
        </w:rPr>
        <w:t xml:space="preserve">Email:</w:t>
      </w:r>
      <w:r>
        <w:t xml:space="preserve"> </w:t>
      </w:r>
      <w:r>
        <w:t xml:space="preserve">administracion@cnsebolivar.edu.pe</w:t>
      </w:r>
    </w:p>
    <w:p>
      <w:pPr>
        <w:pStyle w:val="BodyText"/>
      </w:pPr>
      <w:r>
        <w:rPr>
          <w:bCs/>
          <w:b/>
        </w:rPr>
        <w:t xml:space="preserve">Authorized Representative:</w:t>
      </w:r>
      <w:r>
        <w:t xml:space="preserve"> </w:t>
      </w:r>
      <w:r>
        <w:t xml:space="preserve">Lic. Carlos Mendoza Ríos, Director</w:t>
      </w:r>
    </w:p>
    <w:bookmarkEnd w:id="22"/>
    <w:p>
      <w:pPr>
        <w:pStyle w:val="BodyText"/>
      </w:pPr>
      <w:r>
        <w:t xml:space="preserve">Description of Services – Teacher Secondary Program, Peru Lima</w:t>
      </w:r>
    </w:p>
    <w:p>
      <w:pPr>
        <w:pStyle w:val="BodyText"/>
      </w:pPr>
      <w:r>
        <w:t xml:space="preserve">This Invoice documents the professional services rendered by a certified Teacher Secondary educator in the metropolitan area of Peru Lima during the second academic semester of 2025. The Teacher Secondary professional provided comprehensive instructional services, curriculum development, student assessment, and academic mentoring across multiple secondary education levels (Grades 10 through 12) in accordance with the national educational standards established by the Ministry of Education of Peru (MINEDU). All services were delivered at the designated secondary school facility located in the district of Miraflores, Lima, Peru, and were conducted in full compliance with the Peruvian General Education Law (Ley General de Educación, Ley N° 28044) and the regulations governing secondary education in the Lima metropolitan region.</w:t>
      </w:r>
    </w:p>
    <w:p>
      <w:pPr>
        <w:pStyle w:val="BodyText"/>
      </w:pPr>
      <w:r>
        <w:t xml:space="preserve">Itemized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w:t>
            </w:r>
          </w:p>
        </w:tc>
        <w:tc>
          <w:tcPr/>
          <w:p>
            <w:pPr>
              <w:pStyle w:val="Compact"/>
              <w:jc w:val="left"/>
            </w:pPr>
            <w:r>
              <w:t xml:space="preserve">Subtotal (S/)</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Teacher Secondary – Regular Classroom Instruction (Mathematics, Grades 10-12)</w:t>
            </w:r>
          </w:p>
        </w:tc>
        <w:tc>
          <w:tcPr/>
          <w:p>
            <w:pPr>
              <w:pStyle w:val="Compact"/>
              <w:jc w:val="left"/>
            </w:pPr>
            <w:r>
              <w:t xml:space="preserve">120 hours</w:t>
            </w:r>
          </w:p>
        </w:tc>
        <w:tc>
          <w:tcPr/>
          <w:p>
            <w:pPr>
              <w:pStyle w:val="Compact"/>
              <w:jc w:val="left"/>
            </w:pPr>
            <w:r>
              <w:t xml:space="preserve">S/ 35.00</w:t>
            </w:r>
          </w:p>
        </w:tc>
        <w:tc>
          <w:tcPr/>
          <w:p>
            <w:pPr>
              <w:pStyle w:val="Compact"/>
              <w:jc w:val="left"/>
            </w:pPr>
            <w:r>
              <w:t xml:space="preserve">S/ 4,200.00</w:t>
            </w:r>
          </w:p>
        </w:tc>
        <w:tc>
          <w:tcPr/>
          <w:p>
            <w:pPr>
              <w:pStyle w:val="Compact"/>
              <w:jc w:val="left"/>
            </w:pPr>
            <w:r>
              <w:t xml:space="preserve">Apr – Jun 2025</w:t>
            </w:r>
          </w:p>
        </w:tc>
      </w:tr>
      <w:tr>
        <w:tc>
          <w:tcPr/>
          <w:p>
            <w:pPr>
              <w:pStyle w:val="Compact"/>
              <w:jc w:val="left"/>
            </w:pPr>
            <w:r>
              <w:t xml:space="preserve">02</w:t>
            </w:r>
          </w:p>
        </w:tc>
        <w:tc>
          <w:tcPr/>
          <w:p>
            <w:pPr>
              <w:pStyle w:val="Compact"/>
              <w:jc w:val="left"/>
            </w:pPr>
            <w:r>
              <w:t xml:space="preserve">Teacher Secondary – Curriculum Design &amp; Lesson Planning (Science, Grades 10-12)</w:t>
            </w:r>
          </w:p>
        </w:tc>
        <w:tc>
          <w:tcPr/>
          <w:p>
            <w:pPr>
              <w:pStyle w:val="Compact"/>
              <w:jc w:val="left"/>
            </w:pPr>
            <w:r>
              <w:t xml:space="preserve">40 hours</w:t>
            </w:r>
          </w:p>
        </w:tc>
        <w:tc>
          <w:tcPr/>
          <w:p>
            <w:pPr>
              <w:pStyle w:val="Compact"/>
              <w:jc w:val="left"/>
            </w:pPr>
            <w:r>
              <w:t xml:space="preserve">S/ 45.00</w:t>
            </w:r>
          </w:p>
        </w:tc>
        <w:tc>
          <w:tcPr/>
          <w:p>
            <w:pPr>
              <w:pStyle w:val="Compact"/>
              <w:jc w:val="left"/>
            </w:pPr>
            <w:r>
              <w:t xml:space="preserve">S/ 1,800.00</w:t>
            </w:r>
          </w:p>
        </w:tc>
        <w:tc>
          <w:tcPr/>
          <w:p>
            <w:pPr>
              <w:pStyle w:val="Compact"/>
              <w:jc w:val="left"/>
            </w:pPr>
            <w:r>
              <w:t xml:space="preserve">Apr – Jun 2025</w:t>
            </w:r>
          </w:p>
        </w:tc>
      </w:tr>
      <w:tr>
        <w:tc>
          <w:tcPr/>
          <w:p>
            <w:pPr>
              <w:pStyle w:val="Compact"/>
              <w:jc w:val="left"/>
            </w:pPr>
            <w:r>
              <w:t xml:space="preserve">03</w:t>
            </w:r>
          </w:p>
        </w:tc>
        <w:tc>
          <w:tcPr/>
          <w:p>
            <w:pPr>
              <w:pStyle w:val="Compact"/>
              <w:jc w:val="left"/>
            </w:pPr>
            <w:r>
              <w:t xml:space="preserve">Teacher Secondary – Student Assessment &amp; Evaluation (Standardized Testing, Peru Lima District)</w:t>
            </w:r>
          </w:p>
        </w:tc>
        <w:tc>
          <w:tcPr/>
          <w:p>
            <w:pPr>
              <w:pStyle w:val="Compact"/>
              <w:jc w:val="left"/>
            </w:pPr>
            <w:r>
              <w:t xml:space="preserve">60 hours</w:t>
            </w:r>
          </w:p>
        </w:tc>
        <w:tc>
          <w:tcPr/>
          <w:p>
            <w:pPr>
              <w:pStyle w:val="Compact"/>
              <w:jc w:val="left"/>
            </w:pPr>
            <w:r>
              <w:t xml:space="preserve">S/ 30.00</w:t>
            </w:r>
          </w:p>
        </w:tc>
        <w:tc>
          <w:tcPr/>
          <w:p>
            <w:pPr>
              <w:pStyle w:val="Compact"/>
              <w:jc w:val="left"/>
            </w:pPr>
            <w:r>
              <w:t xml:space="preserve">S/ 1,800.00</w:t>
            </w:r>
          </w:p>
        </w:tc>
        <w:tc>
          <w:tcPr/>
          <w:p>
            <w:pPr>
              <w:pStyle w:val="Compact"/>
              <w:jc w:val="left"/>
            </w:pPr>
            <w:r>
              <w:t xml:space="preserve">May – Jun 2025</w:t>
            </w:r>
          </w:p>
        </w:tc>
      </w:tr>
      <w:tr>
        <w:tc>
          <w:tcPr/>
          <w:p>
            <w:pPr>
              <w:pStyle w:val="Compact"/>
              <w:jc w:val="left"/>
            </w:pPr>
            <w:r>
              <w:t xml:space="preserve">04</w:t>
            </w:r>
          </w:p>
        </w:tc>
        <w:tc>
          <w:tcPr/>
          <w:p>
            <w:pPr>
              <w:pStyle w:val="Compact"/>
              <w:jc w:val="left"/>
            </w:pPr>
            <w:r>
              <w:t xml:space="preserve">Teacher Secondary – Extracurricular Academic Tutoring &amp; Mentoring</w:t>
            </w:r>
          </w:p>
        </w:tc>
        <w:tc>
          <w:tcPr/>
          <w:p>
            <w:pPr>
              <w:pStyle w:val="Compact"/>
              <w:jc w:val="left"/>
            </w:pPr>
            <w:r>
              <w:t xml:space="preserve">30 hours</w:t>
            </w:r>
          </w:p>
        </w:tc>
        <w:tc>
          <w:tcPr/>
          <w:p>
            <w:pPr>
              <w:pStyle w:val="Compact"/>
              <w:jc w:val="left"/>
            </w:pPr>
            <w:r>
              <w:t xml:space="preserve">S/ 40.00</w:t>
            </w:r>
          </w:p>
        </w:tc>
        <w:tc>
          <w:tcPr/>
          <w:p>
            <w:pPr>
              <w:pStyle w:val="Compact"/>
              <w:jc w:val="left"/>
            </w:pPr>
            <w:r>
              <w:t xml:space="preserve">S/ 1,200.00</w:t>
            </w:r>
          </w:p>
        </w:tc>
        <w:tc>
          <w:tcPr/>
          <w:p>
            <w:pPr>
              <w:pStyle w:val="Compact"/>
              <w:jc w:val="left"/>
            </w:pPr>
            <w:r>
              <w:t xml:space="preserve">Apr – Jun 2025</w:t>
            </w:r>
          </w:p>
        </w:tc>
      </w:tr>
      <w:tr>
        <w:tc>
          <w:tcPr/>
          <w:p>
            <w:pPr>
              <w:pStyle w:val="Compact"/>
              <w:jc w:val="left"/>
            </w:pPr>
            <w:r>
              <w:t xml:space="preserve">05</w:t>
            </w:r>
          </w:p>
        </w:tc>
        <w:tc>
          <w:tcPr/>
          <w:p>
            <w:pPr>
              <w:pStyle w:val="Compact"/>
              <w:jc w:val="left"/>
            </w:pPr>
            <w:r>
              <w:t xml:space="preserve">Teacher Secondary – Parent-Teacher Conferences &amp; Academic Reporting (Lima, Peru)</w:t>
            </w:r>
          </w:p>
        </w:tc>
        <w:tc>
          <w:tcPr/>
          <w:p>
            <w:pPr>
              <w:pStyle w:val="Compact"/>
              <w:jc w:val="left"/>
            </w:pPr>
            <w:r>
              <w:t xml:space="preserve">15 sessions</w:t>
            </w:r>
          </w:p>
        </w:tc>
        <w:tc>
          <w:tcPr/>
          <w:p>
            <w:pPr>
              <w:pStyle w:val="Compact"/>
              <w:jc w:val="left"/>
            </w:pPr>
            <w:r>
              <w:t xml:space="preserve">S/ 50.00</w:t>
            </w:r>
          </w:p>
        </w:tc>
        <w:tc>
          <w:tcPr/>
          <w:p>
            <w:pPr>
              <w:pStyle w:val="Compact"/>
              <w:jc w:val="left"/>
            </w:pPr>
            <w:r>
              <w:t xml:space="preserve">S/ 750.00</w:t>
            </w:r>
          </w:p>
        </w:tc>
        <w:tc>
          <w:tcPr/>
          <w:p>
            <w:pPr>
              <w:pStyle w:val="Compact"/>
              <w:jc w:val="left"/>
            </w:pPr>
            <w:r>
              <w:t xml:space="preserve">Jun 2025</w:t>
            </w:r>
          </w:p>
        </w:tc>
      </w:tr>
      <w:tr>
        <w:tc>
          <w:tcPr/>
          <w:p>
            <w:pPr>
              <w:pStyle w:val="Compact"/>
              <w:jc w:val="left"/>
            </w:pPr>
            <w:r>
              <w:t xml:space="preserve">06</w:t>
            </w:r>
          </w:p>
        </w:tc>
        <w:tc>
          <w:tcPr/>
          <w:p>
            <w:pPr>
              <w:pStyle w:val="Compact"/>
              <w:jc w:val="left"/>
            </w:pPr>
            <w:r>
              <w:t xml:space="preserve">Teacher Secondary – Professional Development Workshop (MINEDU Accredited, Lima)</w:t>
            </w:r>
          </w:p>
        </w:tc>
        <w:tc>
          <w:tcPr/>
          <w:p>
            <w:pPr>
              <w:pStyle w:val="Compact"/>
              <w:jc w:val="left"/>
            </w:pPr>
            <w:r>
              <w:t xml:space="preserve">16 hours</w:t>
            </w:r>
          </w:p>
        </w:tc>
        <w:tc>
          <w:tcPr/>
          <w:p>
            <w:pPr>
              <w:pStyle w:val="Compact"/>
              <w:jc w:val="left"/>
            </w:pPr>
            <w:r>
              <w:t xml:space="preserve">S/ 25.00</w:t>
            </w:r>
          </w:p>
        </w:tc>
        <w:tc>
          <w:tcPr/>
          <w:p>
            <w:pPr>
              <w:pStyle w:val="Compact"/>
              <w:jc w:val="left"/>
            </w:pPr>
            <w:r>
              <w:t xml:space="preserve">S/ 400.00</w:t>
            </w:r>
          </w:p>
        </w:tc>
        <w:tc>
          <w:tcPr/>
          <w:p>
            <w:pPr>
              <w:pStyle w:val="Compact"/>
              <w:jc w:val="left"/>
            </w:pPr>
            <w:r>
              <w:t xml:space="preserve">May 2025</w:t>
            </w:r>
          </w:p>
        </w:tc>
      </w:tr>
      <w:tr>
        <w:tc>
          <w:tcPr/>
          <w:p>
            <w:pPr>
              <w:pStyle w:val="Compact"/>
              <w:jc w:val="left"/>
            </w:pPr>
            <w:r>
              <w:t xml:space="preserve">07</w:t>
            </w:r>
          </w:p>
        </w:tc>
        <w:tc>
          <w:tcPr/>
          <w:p>
            <w:pPr>
              <w:pStyle w:val="Compact"/>
              <w:jc w:val="left"/>
            </w:pPr>
            <w:r>
              <w:t xml:space="preserve">Teacher Secondary – Administrative Duties (Grade Recording, Attendance, MINEDU Reporting)</w:t>
            </w:r>
          </w:p>
        </w:tc>
        <w:tc>
          <w:tcPr/>
          <w:p>
            <w:pPr>
              <w:pStyle w:val="Compact"/>
              <w:jc w:val="left"/>
            </w:pPr>
            <w:r>
              <w:t xml:space="preserve">25 hours</w:t>
            </w:r>
          </w:p>
        </w:tc>
        <w:tc>
          <w:tcPr/>
          <w:p>
            <w:pPr>
              <w:pStyle w:val="Compact"/>
              <w:jc w:val="left"/>
            </w:pPr>
            <w:r>
              <w:t xml:space="preserve">S/ 28.00</w:t>
            </w:r>
          </w:p>
        </w:tc>
        <w:tc>
          <w:tcPr/>
          <w:p>
            <w:pPr>
              <w:pStyle w:val="Compact"/>
              <w:jc w:val="left"/>
            </w:pPr>
            <w:r>
              <w:t xml:space="preserve">S/ 700.00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10,850.00</w:t>
            </w:r>
          </w:p>
        </w:tc>
      </w:tr>
      <w:tr>
        <w:tc>
          <w:tcPr/>
          <w:p>
            <w:pPr>
              <w:pStyle w:val="Compact"/>
              <w:jc w:val="left"/>
            </w:pPr>
            <w:r>
              <w:t xml:space="preserve">IGV (18% – Peruvian General Sales Tax)</w:t>
            </w:r>
          </w:p>
        </w:tc>
        <w:tc>
          <w:tcPr/>
          <w:p>
            <w:pPr>
              <w:pStyle w:val="Compact"/>
              <w:jc w:val="right"/>
            </w:pPr>
            <w:r>
              <w:t xml:space="preserve">S/ 1,953.00</w:t>
            </w:r>
          </w:p>
        </w:tc>
      </w:tr>
      <w:tr>
        <w:tc>
          <w:tcPr/>
          <w:p>
            <w:pPr>
              <w:pStyle w:val="Compact"/>
              <w:jc w:val="left"/>
            </w:pPr>
            <w:r>
              <w:t xml:space="preserve">Renta (5% – Peruvian Income Tax Withholding)</w:t>
            </w:r>
          </w:p>
        </w:tc>
        <w:tc>
          <w:tcPr/>
          <w:p>
            <w:pPr>
              <w:pStyle w:val="Compact"/>
              <w:jc w:val="right"/>
            </w:pPr>
            <w:r>
              <w:t xml:space="preserve">- S/ 542.50</w:t>
            </w:r>
          </w:p>
        </w:tc>
      </w:tr>
      <w:tr>
        <w:tc>
          <w:tcPr/>
          <w:p>
            <w:pPr>
              <w:pStyle w:val="Compact"/>
              <w:jc w:val="left"/>
            </w:pPr>
            <w:r>
              <w:t xml:space="preserve">GRAND TOTAL (PEN)</w:t>
            </w:r>
          </w:p>
        </w:tc>
        <w:tc>
          <w:tcPr/>
          <w:p>
            <w:pPr>
              <w:pStyle w:val="Compact"/>
              <w:jc w:val="right"/>
            </w:pPr>
            <w:r>
              <w:t xml:space="preserve">S/ 12,260.50</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tax regulations of the Superintendencia Nacional de Aduanas y de Administración Tributaria (SUNAT) of Peru. The Teacher Secondary service provider is registered as a RUC-active taxpayer in the Lima, Peru jurisdiction.</w:t>
      </w:r>
    </w:p>
    <w:p>
      <w:pPr>
        <w:pStyle w:val="BodyText"/>
      </w:pPr>
      <w:r>
        <w:rPr>
          <w:bCs/>
          <w:b/>
        </w:rPr>
        <w:t xml:space="preserve">2.</w:t>
      </w:r>
      <w:r>
        <w:t xml:space="preserve"> </w:t>
      </w:r>
      <w:r>
        <w:t xml:space="preserve">Payment for this Invoice shall be made via bank transfer to the following account: Banco de Crédito del Perú (BCP), Account No. 191-12345678-0-19, Titular: María Elena Quispe Huamán, Lima, Peru. Please reference Invoice No. INV-LIM-2025-0047 in all payment communications.</w:t>
      </w:r>
    </w:p>
    <w:p>
      <w:pPr>
        <w:pStyle w:val="BodyText"/>
      </w:pPr>
      <w:r>
        <w:rPr>
          <w:bCs/>
          <w:b/>
        </w:rPr>
        <w:t xml:space="preserve">3.</w:t>
      </w:r>
      <w:r>
        <w:t xml:space="preserve"> </w:t>
      </w:r>
      <w:r>
        <w:t xml:space="preserve">All services described in this Invoice were performed by a qualified Teacher Secondary professional holding a valid teaching license issued by the Peruvian Ministry of Education. The Teacher Secondary educator is registered with the national teacher registry (Registro Nacional de Docentes) and has completed all required continuing education credits for the 2025 academic year in Peru Lima.</w:t>
      </w:r>
    </w:p>
    <w:p>
      <w:pPr>
        <w:pStyle w:val="BodyText"/>
      </w:pPr>
      <w:r>
        <w:rPr>
          <w:bCs/>
          <w:b/>
        </w:rPr>
        <w:t xml:space="preserve">4.</w:t>
      </w:r>
      <w:r>
        <w:t xml:space="preserve"> </w:t>
      </w:r>
      <w:r>
        <w:t xml:space="preserve">Late payments on this Invoice will be subject to a penalty of 1.5% per month of delay, in accordance with Peruvian commercial law (Código Civil del Perú, Article 1314). The due date for full settlement is July 15, 2025.</w:t>
      </w:r>
    </w:p>
    <w:p>
      <w:pPr>
        <w:pStyle w:val="BodyText"/>
      </w:pPr>
      <w:r>
        <w:rPr>
          <w:bCs/>
          <w:b/>
        </w:rPr>
        <w:t xml:space="preserve">5.</w:t>
      </w:r>
      <w:r>
        <w:t xml:space="preserve"> </w:t>
      </w:r>
      <w:r>
        <w:t xml:space="preserve">This Invoice constitutes a valid fiscal document for the client's accounting and tax purposes in Peru. A digital copy in PDF format has been transmitted via email to the authorized representative of the institution. The original paper copy is available for collection at the school's administrative office in Miraflores, Lima, Peru.</w:t>
      </w:r>
    </w:p>
    <w:p>
      <w:pPr>
        <w:pStyle w:val="BodyText"/>
      </w:pPr>
      <w:r>
        <w:rPr>
          <w:bCs/>
          <w:b/>
        </w:rPr>
        <w:t xml:space="preserve">6.</w:t>
      </w:r>
      <w:r>
        <w:t xml:space="preserve"> </w:t>
      </w:r>
      <w:r>
        <w:t xml:space="preserve">The Teacher Secondary services outlined herein are non-refundable once rendered. Any disputes regarding the scope or quality of services shall be resolved through the institutional grievance process established by the school's bylaws and, if necessary, through the competent labor courts of Lima, Peru.</w:t>
      </w:r>
    </w:p>
    <w:bookmarkEnd w:id="23"/>
    <w:p>
      <w:pPr>
        <w:pStyle w:val="BodyText"/>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Prof. María Elena Quispe Huamán</w:t>
            </w:r>
          </w:p>
          <w:p>
            <w:pPr>
              <w:jc w:val="left"/>
            </w:pPr>
            <w:r>
              <w:t xml:space="preserve">Teacher Secondary – Service Provider</w:t>
            </w:r>
          </w:p>
          <w:p>
            <w:pPr>
              <w:jc w:val="left"/>
            </w:pPr>
            <w:r>
              <w:t xml:space="preserve">DNI: 45678912</w:t>
            </w:r>
          </w:p>
          <w:p>
            <w:pPr>
              <w:jc w:val="left"/>
            </w:pPr>
            <w:r>
              <w:t xml:space="preserve">Date: June 15, 2025</w:t>
            </w:r>
          </w:p>
        </w:tc>
        <w:tc>
          <w:tcPr/>
          <w:p>
            <w:pPr>
              <w:jc w:val="left"/>
            </w:pPr>
            <w:r>
              <w:t xml:space="preserve">_______________________________</w:t>
            </w:r>
          </w:p>
          <w:p>
            <w:pPr>
              <w:jc w:val="left"/>
            </w:pPr>
            <w:r>
              <w:rPr>
                <w:bCs/>
                <w:b/>
              </w:rPr>
              <w:t xml:space="preserve">Lic. Carlos Mendoza Ríos</w:t>
            </w:r>
          </w:p>
          <w:p>
            <w:pPr>
              <w:jc w:val="left"/>
            </w:pPr>
            <w:r>
              <w:t xml:space="preserve">Director – Colegio Nacional "Simón Bolívar"</w:t>
            </w:r>
          </w:p>
          <w:p>
            <w:pPr>
              <w:jc w:val="left"/>
            </w:pPr>
            <w:r>
              <w:t xml:space="preserve">DNI: 41236789</w:t>
            </w:r>
          </w:p>
          <w:p>
            <w:pPr>
              <w:jc w:val="left"/>
            </w:pPr>
            <w:r>
              <w:t xml:space="preserve">Date: June 15, 2025</w:t>
            </w:r>
          </w:p>
        </w:tc>
      </w:tr>
    </w:tbl>
    <w:p>
      <w:pPr>
        <w:pStyle w:val="BodyText"/>
      </w:pPr>
      <w:r>
        <w:t xml:space="preserve">This Invoice was generated for the Teacher Secondary professional services contract between the parties identified above, operating within the jurisdiction of Peru Lima. All amounts are expressed in Peruvian Soles (PEN). This document is valid for a period of 90 calendar days from the date of issue. For inquiries, contact the administrative office at +51 1 445 6789 or administracion@cnsebolivar.edu.pe, Lima, Peru.</w:t>
      </w:r>
    </w:p>
    <w:p>
      <w:pPr>
        <w:pStyle w:val="BodyText"/>
      </w:pPr>
      <w:r>
        <w:t xml:space="preserve">© 2025 – Invoice INV-LIM-2025-0047 | Teacher Secondary Services | Peru Lima | SUNAT Compliant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Peru Lima</dc:title>
  <dc:creator/>
  <dc:language>en</dc:language>
  <cp:keywords/>
  <dcterms:created xsi:type="dcterms:W3CDTF">2026-10-10T02:59:47Z</dcterms:created>
  <dcterms:modified xsi:type="dcterms:W3CDTF">2026-10-10T02:59:47Z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