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Teacher</w:t>
      </w:r>
      <w:r>
        <w:t xml:space="preserve"> </w:t>
      </w:r>
      <w:r>
        <w:t xml:space="preserve">Secondary</w:t>
      </w:r>
      <w:r>
        <w:t xml:space="preserve"> </w:t>
      </w:r>
      <w:r>
        <w:t xml:space="preserve">Services</w:t>
      </w:r>
      <w:r>
        <w:t xml:space="preserve"> </w:t>
      </w:r>
      <w:r>
        <w:t xml:space="preserve">-</w:t>
      </w:r>
      <w:r>
        <w:t xml:space="preserve"> </w:t>
      </w:r>
      <w:r>
        <w:t xml:space="preserve">Philippines</w:t>
      </w:r>
      <w:r>
        <w:t xml:space="preserve"> </w:t>
      </w:r>
      <w:r>
        <w:t xml:space="preserve">Manila</w:t>
      </w:r>
    </w:p>
    <w:bookmarkStart w:id="20" w:name="manila-secondary-education-services-inc."/>
    <w:p>
      <w:pPr>
        <w:pStyle w:val="Heading1"/>
      </w:pPr>
      <w:r>
        <w:t xml:space="preserve">Manila Secondary Education Services Inc.</w:t>
      </w:r>
    </w:p>
    <w:p>
      <w:pPr>
        <w:pStyle w:val="FirstParagraph"/>
      </w:pPr>
      <w:r>
        <w:t xml:space="preserve">128 Ayala Avenue, Makati City, Metro Manila</w:t>
      </w:r>
    </w:p>
    <w:p>
      <w:pPr>
        <w:pStyle w:val="BodyText"/>
      </w:pPr>
      <w:r>
        <w:t xml:space="preserve">Philippines Manila, 1226</w:t>
      </w:r>
    </w:p>
    <w:p>
      <w:pPr>
        <w:pStyle w:val="BodyText"/>
      </w:pPr>
      <w:r>
        <w:t xml:space="preserve">Tel: +63 (2) 8888-4521 | Email: billing@manilasecondaryedu.ph</w:t>
      </w:r>
    </w:p>
    <w:p>
      <w:pPr>
        <w:pStyle w:val="BodyText"/>
      </w:pPr>
      <w:r>
        <w:t xml:space="preserve">TIN: 201-234-567-000 | BIR Registration No. 000-123-456-789-000</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MS-2025-00847</w:t>
      </w:r>
    </w:p>
    <w:p>
      <w:pPr>
        <w:pStyle w:val="BodyText"/>
      </w:pPr>
      <w:r>
        <w:rPr>
          <w:bCs/>
          <w:b/>
        </w:rPr>
        <w:t xml:space="preserve">Date Issued:</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Service Period:</w:t>
      </w:r>
      <w:r>
        <w:t xml:space="preserve"> </w:t>
      </w:r>
      <w:r>
        <w:t xml:space="preserve">June 1, 2025 – June 30, 2025</w:t>
      </w:r>
    </w:p>
    <w:p>
      <w:pPr>
        <w:pStyle w:val="BodyText"/>
      </w:pPr>
      <w:r>
        <w:t xml:space="preserve">Teacher Secondary Services</w:t>
      </w:r>
    </w:p>
    <w:bookmarkEnd w:id="21"/>
    <w:bookmarkStart w:id="22" w:name="billed-to"/>
    <w:p>
      <w:pPr>
        <w:pStyle w:val="Heading3"/>
      </w:pPr>
      <w:r>
        <w:t xml:space="preserve">Billed To</w:t>
      </w:r>
    </w:p>
    <w:p>
      <w:pPr>
        <w:pStyle w:val="FirstParagraph"/>
      </w:pPr>
      <w:r>
        <w:rPr>
          <w:bCs/>
          <w:b/>
        </w:rPr>
        <w:t xml:space="preserve">DepEd Region III – Central Luzon</w:t>
      </w:r>
    </w:p>
    <w:p>
      <w:pPr>
        <w:pStyle w:val="BodyText"/>
      </w:pPr>
      <w:r>
        <w:t xml:space="preserve">Office of the Regional Director</w:t>
      </w:r>
    </w:p>
    <w:p>
      <w:pPr>
        <w:pStyle w:val="BodyText"/>
      </w:pPr>
      <w:r>
        <w:t xml:space="preserve">100 Rizal Avenue, Manila, Philippines</w:t>
      </w:r>
    </w:p>
    <w:p>
      <w:pPr>
        <w:pStyle w:val="BodyText"/>
      </w:pPr>
      <w:r>
        <w:t xml:space="preserve">Philippines Manila, 1000</w:t>
      </w:r>
    </w:p>
    <w:p>
      <w:pPr>
        <w:pStyle w:val="BodyText"/>
      </w:pPr>
      <w:r>
        <w:t xml:space="preserve">Contact: Dr. Maria Santos, Regional Director</w:t>
      </w:r>
    </w:p>
    <w:p>
      <w:pPr>
        <w:pStyle w:val="BodyText"/>
      </w:pPr>
      <w:r>
        <w:t xml:space="preserve">Email: region3@deped.gov.ph</w:t>
      </w:r>
    </w:p>
    <w:bookmarkEnd w:id="22"/>
    <w:bookmarkStart w:id="23" w:name="service-provider"/>
    <w:p>
      <w:pPr>
        <w:pStyle w:val="Heading3"/>
      </w:pPr>
      <w:r>
        <w:t xml:space="preserve">Service Provider</w:t>
      </w:r>
    </w:p>
    <w:p>
      <w:pPr>
        <w:pStyle w:val="FirstParagraph"/>
      </w:pPr>
      <w:r>
        <w:rPr>
          <w:bCs/>
          <w:b/>
        </w:rPr>
        <w:t xml:space="preserve">Manila Secondary Education Services Inc.</w:t>
      </w:r>
    </w:p>
    <w:p>
      <w:pPr>
        <w:pStyle w:val="BodyText"/>
      </w:pPr>
      <w:r>
        <w:t xml:space="preserve">Teacher Secondary Program Division</w:t>
      </w:r>
    </w:p>
    <w:p>
      <w:pPr>
        <w:pStyle w:val="BodyText"/>
      </w:pPr>
      <w:r>
        <w:t xml:space="preserve">128 Ayala Avenue, Makati City</w:t>
      </w:r>
    </w:p>
    <w:p>
      <w:pPr>
        <w:pStyle w:val="BodyText"/>
      </w:pPr>
      <w:r>
        <w:t xml:space="preserve">Philippines Manila, 1226</w:t>
      </w:r>
    </w:p>
    <w:p>
      <w:pPr>
        <w:pStyle w:val="BodyText"/>
      </w:pPr>
      <w:r>
        <w:t xml:space="preserve">Contact: Atty. Juan Dela Cruz, Finance Officer</w:t>
      </w:r>
    </w:p>
    <w:p>
      <w:pPr>
        <w:pStyle w:val="BodyText"/>
      </w:pPr>
      <w:r>
        <w:t xml:space="preserve">Email: billing@manilasecondaryedu.ph</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Teacher Secondary Services</w:t>
            </w:r>
          </w:p>
        </w:tc>
        <w:tc>
          <w:tcPr/>
          <w:p>
            <w:pPr>
              <w:pStyle w:val="Compact"/>
              <w:jc w:val="left"/>
            </w:pPr>
            <w:r>
              <w:t xml:space="preserve">Service Location</w:t>
            </w:r>
          </w:p>
        </w:tc>
        <w:tc>
          <w:tcPr/>
          <w:p>
            <w:pPr>
              <w:pStyle w:val="Compact"/>
              <w:jc w:val="left"/>
            </w:pPr>
            <w:r>
              <w:t xml:space="preserve">Qty</w:t>
            </w:r>
          </w:p>
        </w:tc>
        <w:tc>
          <w:tcPr/>
          <w:p>
            <w:pPr>
              <w:pStyle w:val="Compact"/>
              <w:jc w:val="left"/>
            </w:pPr>
            <w:r>
              <w:t xml:space="preserve">Unit Price (PHP)</w:t>
            </w:r>
          </w:p>
        </w:tc>
        <w:tc>
          <w:tcPr/>
          <w:p>
            <w:pPr>
              <w:pStyle w:val="Compact"/>
              <w:jc w:val="left"/>
            </w:pPr>
            <w:r>
              <w:t xml:space="preserve">Amount (PHP)</w:t>
            </w:r>
          </w:p>
        </w:tc>
      </w:tr>
      <w:tr>
        <w:tc>
          <w:tcPr/>
          <w:p>
            <w:pPr>
              <w:pStyle w:val="Compact"/>
              <w:jc w:val="left"/>
            </w:pPr>
            <w:r>
              <w:t xml:space="preserve">1</w:t>
            </w:r>
          </w:p>
        </w:tc>
        <w:tc>
          <w:tcPr/>
          <w:p>
            <w:pPr>
              <w:pStyle w:val="Compact"/>
              <w:jc w:val="left"/>
            </w:pPr>
            <w:r>
              <w:t xml:space="preserve">Teacher Secondary – Grade 7 to Grade 10 Mathematics Instruction (Full Academic Month)</w:t>
            </w:r>
          </w:p>
        </w:tc>
        <w:tc>
          <w:tcPr/>
          <w:p>
            <w:pPr>
              <w:pStyle w:val="Compact"/>
              <w:jc w:val="left"/>
            </w:pPr>
            <w:r>
              <w:t xml:space="preserve">Philippines Manila</w:t>
            </w:r>
          </w:p>
        </w:tc>
        <w:tc>
          <w:tcPr/>
          <w:p>
            <w:pPr>
              <w:pStyle w:val="Compact"/>
              <w:jc w:val="left"/>
            </w:pPr>
            <w:r>
              <w:t xml:space="preserve">22</w:t>
            </w:r>
          </w:p>
        </w:tc>
        <w:tc>
          <w:tcPr/>
          <w:p>
            <w:pPr>
              <w:pStyle w:val="Compact"/>
              <w:jc w:val="left"/>
            </w:pPr>
            <w:r>
              <w:t xml:space="preserve">1,850.00</w:t>
            </w:r>
          </w:p>
        </w:tc>
        <w:tc>
          <w:tcPr/>
          <w:p>
            <w:pPr>
              <w:pStyle w:val="Compact"/>
              <w:jc w:val="left"/>
            </w:pPr>
            <w:r>
              <w:t xml:space="preserve">40,700.00</w:t>
            </w:r>
          </w:p>
        </w:tc>
      </w:tr>
      <w:tr>
        <w:tc>
          <w:tcPr/>
          <w:p>
            <w:pPr>
              <w:pStyle w:val="Compact"/>
              <w:jc w:val="left"/>
            </w:pPr>
            <w:r>
              <w:t xml:space="preserve">2</w:t>
            </w:r>
          </w:p>
        </w:tc>
        <w:tc>
          <w:tcPr/>
          <w:p>
            <w:pPr>
              <w:pStyle w:val="Compact"/>
              <w:jc w:val="left"/>
            </w:pPr>
            <w:r>
              <w:t xml:space="preserve">Teacher Secondary – Science Curriculum Development &amp; Delivery (JHS Level)</w:t>
            </w:r>
          </w:p>
        </w:tc>
        <w:tc>
          <w:tcPr/>
          <w:p>
            <w:pPr>
              <w:pStyle w:val="Compact"/>
              <w:jc w:val="left"/>
            </w:pPr>
            <w:r>
              <w:t xml:space="preserve">Philippines Manila</w:t>
            </w:r>
          </w:p>
        </w:tc>
        <w:tc>
          <w:tcPr/>
          <w:p>
            <w:pPr>
              <w:pStyle w:val="Compact"/>
              <w:jc w:val="left"/>
            </w:pPr>
            <w:r>
              <w:t xml:space="preserve">22</w:t>
            </w:r>
          </w:p>
        </w:tc>
        <w:tc>
          <w:tcPr/>
          <w:p>
            <w:pPr>
              <w:pStyle w:val="Compact"/>
              <w:jc w:val="left"/>
            </w:pPr>
            <w:r>
              <w:t xml:space="preserve">1,850.00</w:t>
            </w:r>
          </w:p>
        </w:tc>
        <w:tc>
          <w:tcPr/>
          <w:p>
            <w:pPr>
              <w:pStyle w:val="Compact"/>
              <w:jc w:val="left"/>
            </w:pPr>
            <w:r>
              <w:t xml:space="preserve">40,700.00</w:t>
            </w:r>
          </w:p>
        </w:tc>
      </w:tr>
      <w:tr>
        <w:tc>
          <w:tcPr/>
          <w:p>
            <w:pPr>
              <w:pStyle w:val="Compact"/>
              <w:jc w:val="left"/>
            </w:pPr>
            <w:r>
              <w:t xml:space="preserve">3</w:t>
            </w:r>
          </w:p>
        </w:tc>
        <w:tc>
          <w:tcPr/>
          <w:p>
            <w:pPr>
              <w:pStyle w:val="Compact"/>
              <w:jc w:val="left"/>
            </w:pPr>
            <w:r>
              <w:t xml:space="preserve">Teacher Secondary – English Language &amp; Literature Instruction (Secondary Division)</w:t>
            </w:r>
          </w:p>
        </w:tc>
        <w:tc>
          <w:tcPr/>
          <w:p>
            <w:pPr>
              <w:pStyle w:val="Compact"/>
              <w:jc w:val="left"/>
            </w:pPr>
            <w:r>
              <w:t xml:space="preserve">Philippines Manila</w:t>
            </w:r>
          </w:p>
        </w:tc>
        <w:tc>
          <w:tcPr/>
          <w:p>
            <w:pPr>
              <w:pStyle w:val="Compact"/>
              <w:jc w:val="left"/>
            </w:pPr>
            <w:r>
              <w:t xml:space="preserve">22</w:t>
            </w:r>
          </w:p>
        </w:tc>
        <w:tc>
          <w:tcPr/>
          <w:p>
            <w:pPr>
              <w:pStyle w:val="Compact"/>
              <w:jc w:val="left"/>
            </w:pPr>
            <w:r>
              <w:t xml:space="preserve">1,750.00</w:t>
            </w:r>
          </w:p>
        </w:tc>
        <w:tc>
          <w:tcPr/>
          <w:p>
            <w:pPr>
              <w:pStyle w:val="Compact"/>
              <w:jc w:val="left"/>
            </w:pPr>
            <w:r>
              <w:t xml:space="preserve">38,500.00</w:t>
            </w:r>
          </w:p>
        </w:tc>
      </w:tr>
      <w:tr>
        <w:tc>
          <w:tcPr/>
          <w:p>
            <w:pPr>
              <w:pStyle w:val="Compact"/>
              <w:jc w:val="left"/>
            </w:pPr>
            <w:r>
              <w:t xml:space="preserve">4</w:t>
            </w:r>
          </w:p>
        </w:tc>
        <w:tc>
          <w:tcPr/>
          <w:p>
            <w:pPr>
              <w:pStyle w:val="Compact"/>
              <w:jc w:val="left"/>
            </w:pPr>
            <w:r>
              <w:t xml:space="preserve">Teacher Secondary – Filipino &amp; Araling Panlipunan Instruction (Secondary Level)</w:t>
            </w:r>
          </w:p>
        </w:tc>
        <w:tc>
          <w:tcPr/>
          <w:p>
            <w:pPr>
              <w:pStyle w:val="Compact"/>
              <w:jc w:val="left"/>
            </w:pPr>
            <w:r>
              <w:t xml:space="preserve">Philippines Manila</w:t>
            </w:r>
          </w:p>
        </w:tc>
        <w:tc>
          <w:tcPr/>
          <w:p>
            <w:pPr>
              <w:pStyle w:val="Compact"/>
              <w:jc w:val="left"/>
            </w:pPr>
            <w:r>
              <w:t xml:space="preserve">22</w:t>
            </w:r>
          </w:p>
        </w:tc>
        <w:tc>
          <w:tcPr/>
          <w:p>
            <w:pPr>
              <w:pStyle w:val="Compact"/>
              <w:jc w:val="left"/>
            </w:pPr>
            <w:r>
              <w:t xml:space="preserve">1,750.00</w:t>
            </w:r>
          </w:p>
        </w:tc>
        <w:tc>
          <w:tcPr/>
          <w:p>
            <w:pPr>
              <w:pStyle w:val="Compact"/>
              <w:jc w:val="left"/>
            </w:pPr>
            <w:r>
              <w:t xml:space="preserve">38,500.00</w:t>
            </w:r>
          </w:p>
        </w:tc>
      </w:tr>
      <w:tr>
        <w:tc>
          <w:tcPr/>
          <w:p>
            <w:pPr>
              <w:pStyle w:val="Compact"/>
              <w:jc w:val="left"/>
            </w:pPr>
            <w:r>
              <w:t xml:space="preserve">5</w:t>
            </w:r>
          </w:p>
        </w:tc>
        <w:tc>
          <w:tcPr/>
          <w:p>
            <w:pPr>
              <w:pStyle w:val="Compact"/>
              <w:jc w:val="left"/>
            </w:pPr>
            <w:r>
              <w:t xml:space="preserve">Teacher Secondary – TLE &amp; MAPEH Program Supervision &amp; Assessment</w:t>
            </w:r>
          </w:p>
        </w:tc>
        <w:tc>
          <w:tcPr/>
          <w:p>
            <w:pPr>
              <w:pStyle w:val="Compact"/>
              <w:jc w:val="left"/>
            </w:pPr>
            <w:r>
              <w:t xml:space="preserve">Philippines Manila</w:t>
            </w:r>
          </w:p>
        </w:tc>
        <w:tc>
          <w:tcPr/>
          <w:p>
            <w:pPr>
              <w:pStyle w:val="Compact"/>
              <w:jc w:val="left"/>
            </w:pPr>
            <w:r>
              <w:t xml:space="preserve">22</w:t>
            </w:r>
          </w:p>
        </w:tc>
        <w:tc>
          <w:tcPr/>
          <w:p>
            <w:pPr>
              <w:pStyle w:val="Compact"/>
              <w:jc w:val="left"/>
            </w:pPr>
            <w:r>
              <w:t xml:space="preserve">1,600.00</w:t>
            </w:r>
          </w:p>
        </w:tc>
        <w:tc>
          <w:tcPr/>
          <w:p>
            <w:pPr>
              <w:pStyle w:val="Compact"/>
              <w:jc w:val="left"/>
            </w:pPr>
            <w:r>
              <w:t xml:space="preserve">35,200.00</w:t>
            </w:r>
          </w:p>
        </w:tc>
      </w:tr>
      <w:tr>
        <w:tc>
          <w:tcPr/>
          <w:p>
            <w:pPr>
              <w:pStyle w:val="Compact"/>
              <w:jc w:val="left"/>
            </w:pPr>
            <w:r>
              <w:t xml:space="preserve">6</w:t>
            </w:r>
          </w:p>
        </w:tc>
        <w:tc>
          <w:tcPr/>
          <w:p>
            <w:pPr>
              <w:pStyle w:val="Compact"/>
              <w:jc w:val="left"/>
            </w:pPr>
            <w:r>
              <w:t xml:space="preserve">Teacher Secondary – Student Assessment, Grading &amp; Report Card Preparation</w:t>
            </w:r>
          </w:p>
        </w:tc>
        <w:tc>
          <w:tcPr/>
          <w:p>
            <w:pPr>
              <w:pStyle w:val="Compact"/>
              <w:jc w:val="left"/>
            </w:pPr>
            <w:r>
              <w:t xml:space="preserve">Philippines Manila</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7</w:t>
            </w:r>
          </w:p>
        </w:tc>
        <w:tc>
          <w:tcPr/>
          <w:p>
            <w:pPr>
              <w:pStyle w:val="Compact"/>
              <w:jc w:val="left"/>
            </w:pPr>
            <w:r>
              <w:t xml:space="preserve">Teacher Secondary – Parent-Teacher Conference &amp; Academic Advising Sessions</w:t>
            </w:r>
          </w:p>
        </w:tc>
        <w:tc>
          <w:tcPr/>
          <w:p>
            <w:pPr>
              <w:pStyle w:val="Compact"/>
              <w:jc w:val="left"/>
            </w:pPr>
            <w:r>
              <w:t xml:space="preserve">Philippines Manila</w:t>
            </w:r>
          </w:p>
        </w:tc>
        <w:tc>
          <w:tcPr/>
          <w:p>
            <w:pPr>
              <w:pStyle w:val="Compact"/>
              <w:jc w:val="left"/>
            </w:pPr>
            <w:r>
              <w:t xml:space="preserve">4</w:t>
            </w:r>
          </w:p>
        </w:tc>
        <w:tc>
          <w:tcPr/>
          <w:p>
            <w:pPr>
              <w:pStyle w:val="Compact"/>
              <w:jc w:val="left"/>
            </w:pPr>
            <w:r>
              <w:t xml:space="preserve">3,200.00</w:t>
            </w:r>
          </w:p>
        </w:tc>
        <w:tc>
          <w:tcPr/>
          <w:p>
            <w:pPr>
              <w:pStyle w:val="Compact"/>
              <w:jc w:val="left"/>
            </w:pPr>
            <w:r>
              <w:t xml:space="preserve">12,800.00</w:t>
            </w:r>
          </w:p>
        </w:tc>
      </w:tr>
      <w:tr>
        <w:tc>
          <w:tcPr/>
          <w:p>
            <w:pPr>
              <w:pStyle w:val="Compact"/>
              <w:jc w:val="left"/>
            </w:pPr>
            <w:r>
              <w:t xml:space="preserve">8</w:t>
            </w:r>
          </w:p>
        </w:tc>
        <w:tc>
          <w:tcPr/>
          <w:p>
            <w:pPr>
              <w:pStyle w:val="Compact"/>
              <w:jc w:val="left"/>
            </w:pPr>
            <w:r>
              <w:t xml:space="preserve">Teacher Secondary – Professional Development &amp; DepEd-Approved Training (Monthly)</w:t>
            </w:r>
          </w:p>
        </w:tc>
        <w:tc>
          <w:tcPr/>
          <w:p>
            <w:pPr>
              <w:pStyle w:val="Compact"/>
              <w:jc w:val="left"/>
            </w:pPr>
            <w:r>
              <w:t xml:space="preserve">Philippines Manila</w:t>
            </w:r>
          </w:p>
        </w:tc>
        <w:tc>
          <w:tcPr/>
          <w:p>
            <w:pPr>
              <w:pStyle w:val="Compact"/>
              <w:jc w:val="left"/>
            </w:pPr>
            <w:r>
              <w:t xml:space="preserve">2</w:t>
            </w:r>
          </w:p>
        </w:tc>
        <w:tc>
          <w:tcPr/>
          <w:p>
            <w:pPr>
              <w:pStyle w:val="Compact"/>
              <w:jc w:val="left"/>
            </w:pPr>
            <w:r>
              <w:t xml:space="preserve">4,500.00</w:t>
            </w:r>
          </w:p>
        </w:tc>
        <w:tc>
          <w:tcPr/>
          <w:p>
            <w:pPr>
              <w:pStyle w:val="Compact"/>
              <w:jc w:val="left"/>
            </w:pPr>
            <w:r>
              <w:t xml:space="preserve">9,000.00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227,900.00</w:t>
            </w:r>
          </w:p>
        </w:tc>
      </w:tr>
      <w:tr>
        <w:tc>
          <w:tcPr/>
          <w:p>
            <w:pPr>
              <w:pStyle w:val="Compact"/>
              <w:jc w:val="left"/>
            </w:pPr>
            <w:r>
              <w:t xml:space="preserve">VAT (12% – BIR Compliant, Philippines Manila)</w:t>
            </w:r>
          </w:p>
        </w:tc>
        <w:tc>
          <w:tcPr/>
          <w:p>
            <w:pPr>
              <w:pStyle w:val="Compact"/>
              <w:jc w:val="left"/>
            </w:pPr>
            <w:r>
              <w:t xml:space="preserve">27,348.00</w:t>
            </w:r>
          </w:p>
        </w:tc>
      </w:tr>
      <w:tr>
        <w:tc>
          <w:tcPr/>
          <w:p>
            <w:pPr>
              <w:pStyle w:val="Compact"/>
              <w:jc w:val="left"/>
            </w:pPr>
            <w:r>
              <w:t xml:space="preserve">Withholding Tax (10% – BIR Form 1601-C)</w:t>
            </w:r>
          </w:p>
        </w:tc>
        <w:tc>
          <w:tcPr/>
          <w:p>
            <w:pPr>
              <w:pStyle w:val="Compact"/>
              <w:jc w:val="left"/>
            </w:pPr>
            <w:r>
              <w:t xml:space="preserve">(22,790.00)</w:t>
            </w:r>
          </w:p>
        </w:tc>
      </w:tr>
      <w:tr>
        <w:tc>
          <w:tcPr/>
          <w:p>
            <w:pPr>
              <w:pStyle w:val="Compact"/>
              <w:jc w:val="left"/>
            </w:pPr>
            <w:r>
              <w:t xml:space="preserve">NET PAYABLE AMOUNT</w:t>
            </w:r>
          </w:p>
        </w:tc>
        <w:tc>
          <w:tcPr/>
          <w:p>
            <w:pPr>
              <w:pStyle w:val="Compact"/>
              <w:jc w:val="left"/>
            </w:pPr>
            <w:r>
              <w:t xml:space="preserve">232,458.00</w:t>
            </w:r>
          </w:p>
        </w:tc>
      </w:tr>
    </w:tbl>
    <w:bookmarkStart w:id="24" w:name="payment-terms-instructions"/>
    <w:p>
      <w:pPr>
        <w:pStyle w:val="Heading3"/>
      </w:pPr>
      <w:r>
        <w:t xml:space="preserve">Payment Terms &amp; Instructions</w:t>
      </w:r>
    </w:p>
    <w:p>
      <w:pPr>
        <w:pStyle w:val="FirstParagraph"/>
      </w:pPr>
      <w:r>
        <w:t xml:space="preserve">This Invoice for Teacher Secondary services rendered in Philippines Manila is payable within thirty (30) calendar days from the date of issuance. Payment shall be made via bank transfer to the following account:</w:t>
      </w:r>
    </w:p>
    <w:p>
      <w:pPr>
        <w:pStyle w:val="BodyText"/>
      </w:pPr>
      <w:r>
        <w:rPr>
          <w:bCs/>
          <w:b/>
        </w:rPr>
        <w:t xml:space="preserve">Bank:</w:t>
      </w:r>
      <w:r>
        <w:t xml:space="preserve"> </w:t>
      </w:r>
      <w:r>
        <w:t xml:space="preserve">Bank of the Philippine Islands (BPI)</w:t>
      </w:r>
    </w:p>
    <w:p>
      <w:pPr>
        <w:pStyle w:val="BodyText"/>
      </w:pPr>
      <w:r>
        <w:rPr>
          <w:bCs/>
          <w:b/>
        </w:rPr>
        <w:t xml:space="preserve">Account Name:</w:t>
      </w:r>
      <w:r>
        <w:t xml:space="preserve"> </w:t>
      </w:r>
      <w:r>
        <w:t xml:space="preserve">Manila Secondary Education Services Inc.</w:t>
      </w:r>
    </w:p>
    <w:p>
      <w:pPr>
        <w:pStyle w:val="BodyText"/>
      </w:pPr>
      <w:r>
        <w:rPr>
          <w:bCs/>
          <w:b/>
        </w:rPr>
        <w:t xml:space="preserve">Account No.:</w:t>
      </w:r>
      <w:r>
        <w:t xml:space="preserve"> </w:t>
      </w:r>
      <w:r>
        <w:t xml:space="preserve">001-234-567-890-123-45</w:t>
      </w:r>
    </w:p>
    <w:p>
      <w:pPr>
        <w:pStyle w:val="BodyText"/>
      </w:pPr>
      <w:r>
        <w:rPr>
          <w:bCs/>
          <w:b/>
        </w:rPr>
        <w:t xml:space="preserve">Branch:</w:t>
      </w:r>
      <w:r>
        <w:t xml:space="preserve"> </w:t>
      </w:r>
      <w:r>
        <w:t xml:space="preserve">Ayala Avenue Branch, Philippines Manila</w:t>
      </w:r>
    </w:p>
    <w:p>
      <w:pPr>
        <w:pStyle w:val="BodyText"/>
      </w:pPr>
      <w:r>
        <w:t xml:space="preserve">Please reference Invoice No. MS-2025-00847 in your payment remittance. Late payments shall be subject to a 1.5% monthly interest charge as stipulated in the service agreement. All payments are subject to the applicable BIR withholding tax regulations in force in the Philippines Manila jurisdiction.</w:t>
      </w:r>
    </w:p>
    <w:bookmarkEnd w:id="24"/>
    <w:bookmarkStart w:id="25" w:name="important-notes-regarding-this-invoice"/>
    <w:p>
      <w:pPr>
        <w:pStyle w:val="Heading3"/>
      </w:pPr>
      <w:r>
        <w:t xml:space="preserve">Important Notes Regarding This Invoice</w:t>
      </w:r>
    </w:p>
    <w:p>
      <w:pPr>
        <w:pStyle w:val="FirstParagraph"/>
      </w:pPr>
      <w:r>
        <w:t xml:space="preserve">1. This Invoice covers the complete Teacher Secondary program services delivered during the month of June 2025 across all designated secondary school sites in the Philippines Manila metropolitan area.</w:t>
      </w:r>
    </w:p>
    <w:p>
      <w:pPr>
        <w:pStyle w:val="BodyText"/>
      </w:pPr>
      <w:r>
        <w:t xml:space="preserve">2. All Teacher Secondary instructors listed under this Invoice hold valid PRC (Professional Regulation Commission) licenses and are registered with the Department of Education (DepEd) for secondary-level instruction.</w:t>
      </w:r>
    </w:p>
    <w:p>
      <w:pPr>
        <w:pStyle w:val="BodyText"/>
      </w:pPr>
      <w:r>
        <w:t xml:space="preserve">3. The service location for all line items is Philippines Manila, encompassing the National Capital Region (NCR) and its immediate satellite districts as defined in the master service contract.</w:t>
      </w:r>
    </w:p>
    <w:p>
      <w:pPr>
        <w:pStyle w:val="BodyText"/>
      </w:pPr>
      <w:r>
        <w:t xml:space="preserve">4. This Invoice has been prepared in compliance with the Bureau of Internal Revenue (BIR) requirements for official receipts and tax documentation in the Philippines. A corresponding Official Receipt will be issued upon full settlement of this Invoice.</w:t>
      </w:r>
    </w:p>
    <w:p>
      <w:pPr>
        <w:pStyle w:val="BodyText"/>
      </w:pPr>
      <w:r>
        <w:t xml:space="preserve">5. Any disputes or queries regarding this Invoice for Teacher Secondary services in Philippines Manila must be submitted in writing to the Finance Office within fifteen (15) days of the due date. Failure to do so shall constitute acceptance of the billed amounts.</w:t>
      </w:r>
    </w:p>
    <w:p>
      <w:pPr>
        <w:pStyle w:val="BodyText"/>
      </w:pPr>
      <w:r>
        <w:t xml:space="preserve">6. This Invoice is valid for one (1) year from the date of issuance. After this period, a revised Invoice must be generated to reflect any changes in applicable tax rates or service fees.</w:t>
      </w:r>
    </w:p>
    <w:bookmarkEnd w:id="25"/>
    <w:p>
      <w:pPr>
        <w:pStyle w:val="BodyText"/>
      </w:pPr>
      <w:r>
        <w:rPr>
          <w:bCs/>
          <w:b/>
        </w:rPr>
        <w:t xml:space="preserve">Manila Secondary Education Services Inc.</w:t>
      </w:r>
      <w:r>
        <w:t xml:space="preserve"> </w:t>
      </w:r>
      <w:r>
        <w:t xml:space="preserve">| Teacher Secondary Program Division | Philippines Manila</w:t>
      </w:r>
    </w:p>
    <w:p>
      <w:pPr>
        <w:pStyle w:val="BodyText"/>
      </w:pPr>
      <w:r>
        <w:t xml:space="preserve">Registered with the Securities and Exchange Commission (SEC) Reg. No. CN2019-045678</w:t>
      </w:r>
    </w:p>
    <w:p>
      <w:pPr>
        <w:pStyle w:val="BodyText"/>
      </w:pPr>
      <w:r>
        <w:t xml:space="preserve">BIR-Registered | DTI-Registered | DepEd-Accredited Service Provider</w:t>
      </w:r>
    </w:p>
    <w:p>
      <w:pPr>
        <w:pStyle w:val="BodyText"/>
      </w:pPr>
      <w:r>
        <w:t xml:space="preserve">This Invoice was generated electronically and is valid without a physical signature per RA 10173 (Data Privacy Act of the Philippines).</w:t>
      </w:r>
    </w:p>
    <w:p>
      <w:pPr>
        <w:pStyle w:val="BodyText"/>
      </w:pPr>
      <w:r>
        <w:t xml:space="preserve">Thank you for your business. We are committed to delivering excellence in Teacher Secondary education across Philippines Manila and the greater National Capital Region.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Teacher Secondary Services - Philippines Manila</dc:title>
  <dc:creator/>
  <dc:language>en</dc:language>
  <cp:keywords/>
  <dcterms:created xsi:type="dcterms:W3CDTF">2026-10-10T03:12:35Z</dcterms:created>
  <dcterms:modified xsi:type="dcterms:W3CDTF">2026-10-10T03:12:35Z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