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invoice"/>
    <w:p>
      <w:pPr>
        <w:pStyle w:val="Heading1"/>
      </w:pPr>
      <w:r>
        <w:t xml:space="preserve">INVOICE</w:t>
      </w:r>
    </w:p>
    <w:p>
      <w:pPr>
        <w:pStyle w:val="FirstParagraph"/>
      </w:pPr>
      <w:r>
        <w:t xml:space="preserve">Professional Services Invoice — Teacher Secondary Education Sector</w:t>
      </w:r>
    </w:p>
    <w:p>
      <w:pPr>
        <w:pStyle w:val="BodyText"/>
      </w:pPr>
      <w:r>
        <w:t xml:space="preserve">Issued for use in Russia Moscow — Federal City of Moscow, Russian Federation</w:t>
      </w:r>
    </w:p>
    <w:p>
      <w:pPr>
        <w:pStyle w:val="BodyText"/>
      </w:pPr>
      <w:r>
        <w:t xml:space="preserve">Invoice No. RUS-MOW-TS-2025-04782</w:t>
      </w:r>
    </w:p>
    <w:bookmarkEnd w:id="20"/>
    <w:bookmarkStart w:id="21" w:name="issued-by-service-provider"/>
    <w:p>
      <w:pPr>
        <w:pStyle w:val="Heading3"/>
      </w:pPr>
      <w:r>
        <w:t xml:space="preserve">Issued By (Service Provider)</w:t>
      </w:r>
    </w:p>
    <w:p>
      <w:pPr>
        <w:pStyle w:val="FirstParagraph"/>
      </w:pPr>
      <w:r>
        <w:rPr>
          <w:bCs/>
          <w:b/>
        </w:rPr>
        <w:t xml:space="preserve">Anna Viktorovna Petrova</w:t>
      </w:r>
      <w:r>
        <w:br/>
      </w:r>
      <w:r>
        <w:t xml:space="preserve">Teacher Secondary — Senior Educator</w:t>
      </w:r>
      <w:r>
        <w:br/>
      </w:r>
      <w:r>
        <w:t xml:space="preserve">Department of Mathematics and Natural Sciences</w:t>
      </w:r>
      <w:r>
        <w:br/>
      </w:r>
      <w:r>
        <w:t xml:space="preserve">Moscow State Secondary Education Institute</w:t>
      </w:r>
      <w:r>
        <w:br/>
      </w:r>
      <w:r>
        <w:t xml:space="preserve">14 Leninsky Avenue, Building 3, Floor 7</w:t>
      </w:r>
      <w:r>
        <w:br/>
      </w:r>
      <w:r>
        <w:t xml:space="preserve">Russia Moscow, 119991</w:t>
      </w:r>
      <w:r>
        <w:br/>
      </w:r>
      <w:r>
        <w:t xml:space="preserve">Phone: +7 (495) 555-0142</w:t>
      </w:r>
      <w:r>
        <w:br/>
      </w:r>
      <w:r>
        <w:t xml:space="preserve">Email: a.petrova@mossec-edu.ru</w:t>
      </w:r>
      <w:r>
        <w:br/>
      </w:r>
      <w:r>
        <w:t xml:space="preserve">Tax ID (INN): 770123456789</w:t>
      </w:r>
    </w:p>
    <w:bookmarkEnd w:id="21"/>
    <w:bookmarkStart w:id="22" w:name="issued-to-client-employer"/>
    <w:p>
      <w:pPr>
        <w:pStyle w:val="Heading3"/>
      </w:pPr>
      <w:r>
        <w:t xml:space="preserve">Issued To (Client / Employer)</w:t>
      </w:r>
    </w:p>
    <w:p>
      <w:pPr>
        <w:pStyle w:val="FirstParagraph"/>
      </w:pPr>
      <w:r>
        <w:rPr>
          <w:bCs/>
          <w:b/>
        </w:rPr>
        <w:t xml:space="preserve">General Directorate of Education</w:t>
      </w:r>
      <w:r>
        <w:br/>
      </w:r>
      <w:r>
        <w:t xml:space="preserve">City of Moscow, Russian Federation</w:t>
      </w:r>
      <w:r>
        <w:br/>
      </w:r>
      <w:r>
        <w:t xml:space="preserve">12 Presnenskaya Embankment</w:t>
      </w:r>
      <w:r>
        <w:br/>
      </w:r>
      <w:r>
        <w:t xml:space="preserve">Russia Moscow, 119019</w:t>
      </w:r>
      <w:r>
        <w:br/>
      </w:r>
      <w:r>
        <w:t xml:space="preserve">Phone: +7 (495) 985-1000</w:t>
      </w:r>
      <w:r>
        <w:br/>
      </w:r>
      <w:r>
        <w:t xml:space="preserve">Email: procurement@moscow-edu.gov.ru</w:t>
      </w:r>
      <w:r>
        <w:br/>
      </w:r>
      <w:r>
        <w:t xml:space="preserve">KPP: 770401001</w:t>
      </w:r>
      <w:r>
        <w:br/>
      </w:r>
      <w:r>
        <w:t xml:space="preserve">OGRN: 1027700000000</w:t>
      </w:r>
    </w:p>
    <w:bookmarkEnd w:id="22"/>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1 September 2024 – 31 May 2025</w:t>
      </w:r>
    </w:p>
    <w:p>
      <w:pPr>
        <w:pStyle w:val="BodyText"/>
      </w:pPr>
      <w:r>
        <w:rPr>
          <w:bCs/>
          <w:b/>
        </w:rPr>
        <w:t xml:space="preserve">Currency:</w:t>
      </w:r>
      <w:r>
        <w:t xml:space="preserve"> </w:t>
      </w:r>
      <w:r>
        <w:t xml:space="preserve">Russian Ruble (RUB / &amp;rub;)</w:t>
      </w:r>
    </w:p>
    <w:p>
      <w:pPr>
        <w:pStyle w:val="BodyText"/>
      </w:pPr>
      <w:r>
        <w:rPr>
          <w:bCs/>
          <w:b/>
        </w:rPr>
        <w:t xml:space="preserve">Payment Terms:</w:t>
      </w:r>
      <w:r>
        <w:t xml:space="preserve"> </w:t>
      </w:r>
      <w:r>
        <w:t xml:space="preserve">Net 15 days</w:t>
      </w:r>
    </w:p>
    <w:p>
      <w:pPr>
        <w:pStyle w:val="BodyText"/>
      </w:pPr>
      <w:r>
        <w:rPr>
          <w:bCs/>
          <w:b/>
        </w:rPr>
        <w:t xml:space="preserve">Reference:</w:t>
      </w:r>
      <w:r>
        <w:t xml:space="preserve"> </w:t>
      </w:r>
      <w:r>
        <w:t xml:space="preserve">Contract No. MOW-EDU-2024-3387</w:t>
      </w:r>
    </w:p>
    <w:bookmarkStart w:id="27" w:name="description-of-services-rendered"/>
    <w:p>
      <w:pPr>
        <w:pStyle w:val="Heading2"/>
      </w:pPr>
      <w:r>
        <w:t xml:space="preserve">Description of Services Rendered</w:t>
      </w:r>
    </w:p>
    <w:p>
      <w:pPr>
        <w:pStyle w:val="FirstParagraph"/>
      </w:pPr>
      <w:r>
        <w:t xml:space="preserve">This Invoice documents the professional services provided by the undersigned Teacher Secondary in accordance with the employment and service agreement registered with the General Directorate of Education in Russia Moscow. The Teacher Secondary was engaged to deliver structured academic instruction, curriculum development, and student assessment services across the secondary education level (grades 5 through 11) during the 2024–2025 academic year.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(RUB)</w:t>
            </w:r>
          </w:p>
        </w:tc>
        <w:tc>
          <w:tcPr/>
          <w:p>
            <w:pPr>
              <w:pStyle w:val="Compact"/>
              <w:jc w:val="left"/>
            </w:pPr>
            <w:r>
              <w:t xml:space="preserve">Amount (RUB)</w:t>
            </w:r>
          </w:p>
        </w:tc>
        <w:tc>
          <w:tcPr/>
          <w:p>
            <w:pPr>
              <w:pStyle w:val="Compact"/>
              <w:jc w:val="left"/>
            </w:pPr>
            <w:r>
              <w:t xml:space="preserve">VAT (20%)</w:t>
            </w:r>
          </w:p>
        </w:tc>
      </w:tr>
      <w:tr>
        <w:tc>
          <w:tcPr/>
          <w:p>
            <w:pPr>
              <w:pStyle w:val="Compact"/>
              <w:jc w:val="left"/>
            </w:pPr>
            <w:r>
              <w:t xml:space="preserve">1</w:t>
            </w:r>
          </w:p>
        </w:tc>
        <w:tc>
          <w:tcPr/>
          <w:p>
            <w:pPr>
              <w:pStyle w:val="Compact"/>
              <w:jc w:val="left"/>
            </w:pPr>
            <w:r>
              <w:t xml:space="preserve">Teacher Secondary — Regular classroom instruction in Mathematics for grades 7–9, Russia Moscow district schools</w:t>
            </w:r>
          </w:p>
        </w:tc>
        <w:tc>
          <w:tcPr/>
          <w:p>
            <w:pPr>
              <w:pStyle w:val="Compact"/>
              <w:jc w:val="left"/>
            </w:pPr>
            <w:r>
              <w:t xml:space="preserve">1,240 hours</w:t>
            </w:r>
          </w:p>
        </w:tc>
        <w:tc>
          <w:tcPr/>
          <w:p>
            <w:pPr>
              <w:pStyle w:val="Compact"/>
              <w:jc w:val="left"/>
            </w:pPr>
            <w:r>
              <w:t xml:space="preserve">&amp;rub; 1,850.00</w:t>
            </w:r>
          </w:p>
        </w:tc>
        <w:tc>
          <w:tcPr/>
          <w:p>
            <w:pPr>
              <w:pStyle w:val="Compact"/>
              <w:jc w:val="left"/>
            </w:pPr>
            <w:r>
              <w:t xml:space="preserve">&amp;rub; 2,294,000.00</w:t>
            </w:r>
          </w:p>
        </w:tc>
        <w:tc>
          <w:tcPr/>
          <w:p>
            <w:pPr>
              <w:pStyle w:val="Compact"/>
              <w:jc w:val="left"/>
            </w:pPr>
            <w:r>
              <w:t xml:space="preserve">&amp;rub; 458,800.00</w:t>
            </w:r>
          </w:p>
        </w:tc>
      </w:tr>
      <w:tr>
        <w:tc>
          <w:tcPr/>
          <w:p>
            <w:pPr>
              <w:pStyle w:val="Compact"/>
              <w:jc w:val="left"/>
            </w:pPr>
            <w:r>
              <w:t xml:space="preserve">2</w:t>
            </w:r>
          </w:p>
        </w:tc>
        <w:tc>
          <w:tcPr/>
          <w:p>
            <w:pPr>
              <w:pStyle w:val="Compact"/>
              <w:jc w:val="left"/>
            </w:pPr>
            <w:r>
              <w:t xml:space="preserve">Teacher Secondary — Curriculum design and development of standardized test preparation materials for the Unified State Exam (EGE)</w:t>
            </w:r>
          </w:p>
        </w:tc>
        <w:tc>
          <w:tcPr/>
          <w:p>
            <w:pPr>
              <w:pStyle w:val="Compact"/>
              <w:jc w:val="left"/>
            </w:pPr>
            <w:r>
              <w:t xml:space="preserve">1 project</w:t>
            </w:r>
          </w:p>
        </w:tc>
        <w:tc>
          <w:tcPr/>
          <w:p>
            <w:pPr>
              <w:pStyle w:val="Compact"/>
              <w:jc w:val="left"/>
            </w:pPr>
            <w:r>
              <w:t xml:space="preserve">&amp;rub; 185,000.00</w:t>
            </w:r>
          </w:p>
        </w:tc>
        <w:tc>
          <w:tcPr/>
          <w:p>
            <w:pPr>
              <w:pStyle w:val="Compact"/>
              <w:jc w:val="left"/>
            </w:pPr>
            <w:r>
              <w:t xml:space="preserve">&amp;rub; 185,000.00</w:t>
            </w:r>
          </w:p>
        </w:tc>
        <w:tc>
          <w:tcPr/>
          <w:p>
            <w:pPr>
              <w:pStyle w:val="Compact"/>
              <w:jc w:val="left"/>
            </w:pPr>
            <w:r>
              <w:t xml:space="preserve">&amp;rub; 37,000.00</w:t>
            </w:r>
          </w:p>
        </w:tc>
      </w:tr>
      <w:tr>
        <w:tc>
          <w:tcPr/>
          <w:p>
            <w:pPr>
              <w:pStyle w:val="Compact"/>
              <w:jc w:val="left"/>
            </w:pPr>
            <w:r>
              <w:t xml:space="preserve">3</w:t>
            </w:r>
          </w:p>
        </w:tc>
        <w:tc>
          <w:tcPr/>
          <w:p>
            <w:pPr>
              <w:pStyle w:val="Compact"/>
              <w:jc w:val="left"/>
            </w:pPr>
            <w:r>
              <w:t xml:space="preserve">Teacher Secondary — Supervision and mentoring of 4 junior secondary-level educators, Russia Moscow professional development program</w:t>
            </w:r>
          </w:p>
        </w:tc>
        <w:tc>
          <w:tcPr/>
          <w:p>
            <w:pPr>
              <w:pStyle w:val="Compact"/>
              <w:jc w:val="left"/>
            </w:pPr>
            <w:r>
              <w:t xml:space="preserve">360 hours</w:t>
            </w:r>
          </w:p>
        </w:tc>
        <w:tc>
          <w:tcPr/>
          <w:p>
            <w:pPr>
              <w:pStyle w:val="Compact"/>
              <w:jc w:val="left"/>
            </w:pPr>
            <w:r>
              <w:t xml:space="preserve">&amp;rub; 1,200.00</w:t>
            </w:r>
          </w:p>
        </w:tc>
        <w:tc>
          <w:tcPr/>
          <w:p>
            <w:pPr>
              <w:pStyle w:val="Compact"/>
              <w:jc w:val="left"/>
            </w:pPr>
            <w:r>
              <w:t xml:space="preserve">&amp;rub; 432,000.00</w:t>
            </w:r>
          </w:p>
        </w:tc>
        <w:tc>
          <w:tcPr/>
          <w:p>
            <w:pPr>
              <w:pStyle w:val="Compact"/>
              <w:jc w:val="left"/>
            </w:pPr>
            <w:r>
              <w:t xml:space="preserve">&amp;rub; 86,400.00</w:t>
            </w:r>
          </w:p>
        </w:tc>
      </w:tr>
      <w:tr>
        <w:tc>
          <w:tcPr/>
          <w:p>
            <w:pPr>
              <w:pStyle w:val="Compact"/>
              <w:jc w:val="left"/>
            </w:pPr>
            <w:r>
              <w:t xml:space="preserve">4</w:t>
            </w:r>
          </w:p>
        </w:tc>
        <w:tc>
          <w:tcPr/>
          <w:p>
            <w:pPr>
              <w:pStyle w:val="Compact"/>
              <w:jc w:val="left"/>
            </w:pPr>
            <w:r>
              <w:t xml:space="preserve">Teacher Secondary — Administration and grading of quarterly assessments, final examinations, and standardized testing sessions</w:t>
            </w:r>
          </w:p>
        </w:tc>
        <w:tc>
          <w:tcPr/>
          <w:p>
            <w:pPr>
              <w:pStyle w:val="Compact"/>
              <w:jc w:val="left"/>
            </w:pPr>
            <w:r>
              <w:t xml:space="preserve">8 sessions</w:t>
            </w:r>
          </w:p>
        </w:tc>
        <w:tc>
          <w:tcPr/>
          <w:p>
            <w:pPr>
              <w:pStyle w:val="Compact"/>
              <w:jc w:val="left"/>
            </w:pPr>
            <w:r>
              <w:t xml:space="preserve">&amp;rub; 42,500.00</w:t>
            </w:r>
          </w:p>
        </w:tc>
        <w:tc>
          <w:tcPr/>
          <w:p>
            <w:pPr>
              <w:pStyle w:val="Compact"/>
              <w:jc w:val="left"/>
            </w:pPr>
            <w:r>
              <w:t xml:space="preserve">&amp;rub; 340,000.00</w:t>
            </w:r>
          </w:p>
        </w:tc>
        <w:tc>
          <w:tcPr/>
          <w:p>
            <w:pPr>
              <w:pStyle w:val="Compact"/>
              <w:jc w:val="left"/>
            </w:pPr>
            <w:r>
              <w:t xml:space="preserve">&amp;rub; 68,000.00</w:t>
            </w:r>
          </w:p>
        </w:tc>
      </w:tr>
      <w:tr>
        <w:tc>
          <w:tcPr/>
          <w:p>
            <w:pPr>
              <w:pStyle w:val="Compact"/>
              <w:jc w:val="left"/>
            </w:pPr>
            <w:r>
              <w:t xml:space="preserve">5</w:t>
            </w:r>
          </w:p>
        </w:tc>
        <w:tc>
          <w:tcPr/>
          <w:p>
            <w:pPr>
              <w:pStyle w:val="Compact"/>
              <w:jc w:val="left"/>
            </w:pPr>
            <w:r>
              <w:t xml:space="preserve">Teacher Secondary — Participation in inter-school pedagogical conferences and Russia Moscow education policy workshops</w:t>
            </w:r>
          </w:p>
        </w:tc>
        <w:tc>
          <w:tcPr/>
          <w:p>
            <w:pPr>
              <w:pStyle w:val="Compact"/>
              <w:jc w:val="left"/>
            </w:pPr>
            <w:r>
              <w:t xml:space="preserve">12 events</w:t>
            </w:r>
          </w:p>
        </w:tc>
        <w:tc>
          <w:tcPr/>
          <w:p>
            <w:pPr>
              <w:pStyle w:val="Compact"/>
              <w:jc w:val="left"/>
            </w:pPr>
            <w:r>
              <w:t xml:space="preserve">&amp;rub; 18,000.00</w:t>
            </w:r>
          </w:p>
        </w:tc>
        <w:tc>
          <w:tcPr/>
          <w:p>
            <w:pPr>
              <w:pStyle w:val="Compact"/>
              <w:jc w:val="left"/>
            </w:pPr>
            <w:r>
              <w:t xml:space="preserve">&amp;rub; 216,000.00</w:t>
            </w:r>
          </w:p>
        </w:tc>
        <w:tc>
          <w:tcPr/>
          <w:p>
            <w:pPr>
              <w:pStyle w:val="Compact"/>
              <w:jc w:val="left"/>
            </w:pPr>
            <w:r>
              <w:t xml:space="preserve">&amp;rub; 43,200.00</w:t>
            </w:r>
          </w:p>
        </w:tc>
      </w:tr>
      <w:tr>
        <w:tc>
          <w:tcPr/>
          <w:p>
            <w:pPr>
              <w:pStyle w:val="Compact"/>
              <w:jc w:val="left"/>
            </w:pPr>
            <w:r>
              <w:t xml:space="preserve">6</w:t>
            </w:r>
          </w:p>
        </w:tc>
        <w:tc>
          <w:tcPr/>
          <w:p>
            <w:pPr>
              <w:pStyle w:val="Compact"/>
              <w:jc w:val="left"/>
            </w:pPr>
            <w:r>
              <w:t xml:space="preserve">Teacher Secondary — Development of digital learning modules and e-learning content for secondary students in remote-access areas of Russia Moscow</w:t>
            </w:r>
          </w:p>
        </w:tc>
        <w:tc>
          <w:tcPr/>
          <w:p>
            <w:pPr>
              <w:pStyle w:val="Compact"/>
              <w:jc w:val="left"/>
            </w:pPr>
            <w:r>
              <w:t xml:space="preserve">24 modules</w:t>
            </w:r>
          </w:p>
        </w:tc>
        <w:tc>
          <w:tcPr/>
          <w:p>
            <w:pPr>
              <w:pStyle w:val="Compact"/>
              <w:jc w:val="left"/>
            </w:pPr>
            <w:r>
              <w:t xml:space="preserve">&amp;rub; 9,500.00</w:t>
            </w:r>
          </w:p>
        </w:tc>
        <w:tc>
          <w:tcPr/>
          <w:p>
            <w:pPr>
              <w:pStyle w:val="Compact"/>
              <w:jc w:val="left"/>
            </w:pPr>
            <w:r>
              <w:t xml:space="preserve">&amp;rub; 228,000.00</w:t>
            </w:r>
          </w:p>
        </w:tc>
        <w:tc>
          <w:tcPr/>
          <w:p>
            <w:pPr>
              <w:pStyle w:val="Compact"/>
              <w:jc w:val="left"/>
            </w:pPr>
            <w:r>
              <w:t xml:space="preserve">&amp;rub; 45,600.00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(excluding VAT)</w:t>
            </w:r>
          </w:p>
        </w:tc>
        <w:tc>
          <w:tcPr/>
          <w:p>
            <w:pPr>
              <w:pStyle w:val="Compact"/>
              <w:jc w:val="right"/>
            </w:pPr>
            <w:r>
              <w:t xml:space="preserve">&amp;rub; 3,695,000.00</w:t>
            </w:r>
          </w:p>
        </w:tc>
      </w:tr>
      <w:tr>
        <w:tc>
          <w:tcPr/>
          <w:p>
            <w:pPr>
              <w:pStyle w:val="Compact"/>
              <w:jc w:val="left"/>
            </w:pPr>
            <w:r>
              <w:t xml:space="preserve">VAT (20%)</w:t>
            </w:r>
          </w:p>
        </w:tc>
        <w:tc>
          <w:tcPr/>
          <w:p>
            <w:pPr>
              <w:pStyle w:val="Compact"/>
              <w:jc w:val="right"/>
            </w:pPr>
            <w:r>
              <w:t xml:space="preserve">&amp;rub; 739,000.00</w:t>
            </w:r>
          </w:p>
        </w:tc>
      </w:tr>
      <w:tr>
        <w:tc>
          <w:tcPr/>
          <w:p>
            <w:pPr>
              <w:pStyle w:val="Compact"/>
              <w:jc w:val="left"/>
            </w:pPr>
            <w:r>
              <w:t xml:space="preserve">Grand Total (including VAT)</w:t>
            </w:r>
          </w:p>
        </w:tc>
        <w:tc>
          <w:tcPr/>
          <w:p>
            <w:pPr>
              <w:pStyle w:val="Compact"/>
              <w:jc w:val="right"/>
            </w:pPr>
            <w:r>
              <w:t xml:space="preserve">&amp;rub; 4,434,000.00</w:t>
            </w:r>
          </w:p>
        </w:tc>
      </w:tr>
      <w:tr>
        <w:tc>
          <w:tcPr/>
          <w:p>
            <w:pPr>
              <w:pStyle w:val="Compact"/>
              <w:jc w:val="left"/>
            </w:pPr>
            <w:r>
              <w:t xml:space="preserve">Amount in Words</w:t>
            </w:r>
          </w:p>
        </w:tc>
        <w:tc>
          <w:tcPr/>
          <w:p>
            <w:pPr>
              <w:pStyle w:val="Compact"/>
              <w:jc w:val="right"/>
            </w:pPr>
            <w:r>
              <w:t xml:space="preserve">Four million four hundred thirty-four thousand rubles 00 kopecks</w:t>
            </w:r>
          </w:p>
        </w:tc>
      </w:tr>
    </w:tbl>
    <w:bookmarkStart w:id="23" w:name="payment-instructions"/>
    <w:p>
      <w:pPr>
        <w:pStyle w:val="Heading3"/>
      </w:pPr>
      <w:r>
        <w:t xml:space="preserve">Payment Instructions</w:t>
      </w:r>
    </w:p>
    <w:p>
      <w:pPr>
        <w:pStyle w:val="FirstParagraph"/>
      </w:pPr>
      <w:r>
        <w:t xml:space="preserve">Payment for this Invoice shall be remitted via bank transfer to the following account. All transactions must reference Invoice No. RUS-MOW-TS-2025-04782 and Contract No. MOW-EDU-2024-3387. The payment must be processed through a licensed financial institution operating within the Russian Federation.</w:t>
      </w:r>
    </w:p>
    <w:p>
      <w:pPr>
        <w:pStyle w:val="BodyText"/>
      </w:pPr>
      <w:r>
        <w:rPr>
          <w:bCs/>
          <w:b/>
        </w:rPr>
        <w:t xml:space="preserve">Bank:</w:t>
      </w:r>
      <w:r>
        <w:t xml:space="preserve"> </w:t>
      </w:r>
      <w:r>
        <w:t xml:space="preserve">Joint-Stock Company "Sberbank", Main Branch, Russia Moscow</w:t>
      </w:r>
      <w:r>
        <w:br/>
      </w:r>
      <w:r>
        <w:rPr>
          <w:bCs/>
          <w:b/>
        </w:rPr>
        <w:t xml:space="preserve">Account Holder:</w:t>
      </w:r>
      <w:r>
        <w:t xml:space="preserve"> </w:t>
      </w:r>
      <w:r>
        <w:t xml:space="preserve">Anna Viktorovna Petrova (Teacher Secondary)</w:t>
      </w:r>
      <w:r>
        <w:br/>
      </w:r>
      <w:r>
        <w:rPr>
          <w:bCs/>
          <w:b/>
        </w:rPr>
        <w:t xml:space="preserve">Account Number (R/S):</w:t>
      </w:r>
      <w:r>
        <w:t xml:space="preserve"> </w:t>
      </w:r>
      <w:r>
        <w:t xml:space="preserve">40817810000000012345</w:t>
      </w:r>
      <w:r>
        <w:br/>
      </w:r>
      <w:r>
        <w:rPr>
          <w:bCs/>
          <w:b/>
        </w:rPr>
        <w:t xml:space="preserve">Correspondent Account (K/S):</w:t>
      </w:r>
      <w:r>
        <w:t xml:space="preserve"> </w:t>
      </w:r>
      <w:r>
        <w:t xml:space="preserve">30101810400000000225</w:t>
      </w:r>
      <w:r>
        <w:br/>
      </w:r>
      <w:r>
        <w:rPr>
          <w:bCs/>
          <w:b/>
        </w:rPr>
        <w:t xml:space="preserve">BIC/SWIFT:</w:t>
      </w:r>
      <w:r>
        <w:t xml:space="preserve"> </w:t>
      </w:r>
      <w:r>
        <w:t xml:space="preserve">SABRRUMM</w:t>
      </w:r>
      <w:r>
        <w:br/>
      </w:r>
      <w:r>
        <w:rPr>
          <w:bCs/>
          <w:b/>
        </w:rPr>
        <w:t xml:space="preserve">INN:</w:t>
      </w:r>
      <w:r>
        <w:t xml:space="preserve"> </w:t>
      </w:r>
      <w:r>
        <w:t xml:space="preserve">770123456789  | </w:t>
      </w:r>
      <w:r>
        <w:t xml:space="preserve"> </w:t>
      </w:r>
      <w:r>
        <w:rPr>
          <w:bCs/>
          <w:b/>
        </w:rPr>
        <w:t xml:space="preserve">KPP:</w:t>
      </w:r>
      <w:r>
        <w:t xml:space="preserve"> </w:t>
      </w:r>
      <w:r>
        <w:t xml:space="preserve">770401001</w:t>
      </w:r>
    </w:p>
    <w:p>
      <w:pPr>
        <w:pStyle w:val="BodyText"/>
      </w:pPr>
      <w:r>
        <w:t xml:space="preserve">Please note: Late payments on this Invoice are subject to a penalty of 0.1% per calendar day of delay, in accordance with Article 317.1 of the Civil Code of the Russian Federation. The due date for full settlement of this Invoice is 30 June 2025.</w:t>
      </w:r>
    </w:p>
    <w:bookmarkEnd w:id="23"/>
    <w:bookmarkStart w:id="24" w:name="terms-conditions-and-regulatory-notes"/>
    <w:p>
      <w:pPr>
        <w:pStyle w:val="Heading3"/>
      </w:pPr>
      <w:r>
        <w:t xml:space="preserve">Terms, Conditions, and Regulatory Notes</w:t>
      </w:r>
    </w:p>
    <w:p>
      <w:pPr>
        <w:pStyle w:val="FirstParagraph"/>
      </w:pPr>
      <w:r>
        <w:t xml:space="preserve">This Invoice is issued in compliance with the Federal Law of the Russian Federation "On Education in the Russian Federation" (No. 273-FZ) and the applicable tax regulations of the Russian Federation. The Teacher Secondary services described herein were delivered in full accordance with the professional standards established by the Ministry of Education and Science of the Russian Federation for secondary-level educators.</w:t>
      </w:r>
    </w:p>
    <w:p>
      <w:pPr>
        <w:pStyle w:val="BodyText"/>
      </w:pPr>
      <w:r>
        <w:t xml:space="preserve">All instructional hours logged under this Invoice correspond to the official academic calendar of the 2024–2025 school year as published by the Moscow Department of Education. The Teacher Secondary maintained all required documentation, including lesson plans, student progress records, and assessment reports, which are available for audit upon request by the General Directorate of Education in Russia Moscow.</w:t>
      </w:r>
    </w:p>
    <w:p>
      <w:pPr>
        <w:pStyle w:val="BodyText"/>
      </w:pPr>
      <w:r>
        <w:t xml:space="preserve">This Invoice constitutes the final and complete statement of services rendered for the specified period. No additional charges, deductions, or adjustments shall apply beyond those itemized above. The Teacher Secondary confirms that all services were performed personally and in full compliance with the contractual obligations set forth in Contract No. MOW-EDU-2024-3387, registered in Russia Moscow.</w:t>
      </w:r>
    </w:p>
    <w:p>
      <w:pPr>
        <w:pStyle w:val="BodyText"/>
      </w:pPr>
      <w:r>
        <w:t xml:space="preserve">By accepting this Invoice, the client acknowledges receipt of all Teacher Secondary services listed and agrees to the payment terms specified. This document is valid for a period of three (3) years from the date of issue, in accordance with Russian archival and accounting regulations.</w:t>
      </w:r>
    </w:p>
    <w:bookmarkEnd w:id="24"/>
    <w:bookmarkStart w:id="25" w:name="prepared-and-certified-by"/>
    <w:p>
      <w:pPr>
        <w:pStyle w:val="Heading3"/>
      </w:pPr>
      <w:r>
        <w:t xml:space="preserve">Prepared and Certified By</w:t>
      </w:r>
    </w:p>
    <w:p>
      <w:pPr>
        <w:pStyle w:val="FirstParagraph"/>
      </w:pPr>
      <w:r>
        <w:t xml:space="preserve"> </w:t>
      </w:r>
    </w:p>
    <w:p>
      <w:pPr>
        <w:pStyle w:val="BodyText"/>
      </w:pPr>
      <w:r>
        <w:rPr>
          <w:bCs/>
          <w:b/>
        </w:rPr>
        <w:t xml:space="preserve">Anna Viktorovna Petrova</w:t>
      </w:r>
      <w:r>
        <w:br/>
      </w:r>
      <w:r>
        <w:t xml:space="preserve">Teacher Secondary — Senior Educator</w:t>
      </w:r>
      <w:r>
        <w:br/>
      </w:r>
      <w:r>
        <w:t xml:space="preserve">Signature: _________________________</w:t>
      </w:r>
      <w:r>
        <w:br/>
      </w:r>
      <w:r>
        <w:t xml:space="preserve">Date: 15 June 2025</w:t>
      </w:r>
    </w:p>
    <w:bookmarkEnd w:id="25"/>
    <w:bookmarkStart w:id="26" w:name="received-and-approved-by"/>
    <w:p>
      <w:pPr>
        <w:pStyle w:val="Heading3"/>
      </w:pPr>
      <w:r>
        <w:t xml:space="preserve">Received and Approved By</w:t>
      </w:r>
    </w:p>
    <w:p>
      <w:pPr>
        <w:pStyle w:val="FirstParagraph"/>
      </w:pPr>
      <w:r>
        <w:t xml:space="preserve"> </w:t>
      </w:r>
    </w:p>
    <w:p>
      <w:pPr>
        <w:pStyle w:val="BodyText"/>
      </w:pPr>
      <w:r>
        <w:rPr>
          <w:bCs/>
          <w:b/>
        </w:rPr>
        <w:t xml:space="preserve">Directorate of Procurement</w:t>
      </w:r>
      <w:r>
        <w:br/>
      </w:r>
      <w:r>
        <w:t xml:space="preserve">General Directorate of Education, Russia Moscow</w:t>
      </w:r>
      <w:r>
        <w:br/>
      </w:r>
      <w:r>
        <w:t xml:space="preserve">Signature: _________________________</w:t>
      </w:r>
      <w:r>
        <w:br/>
      </w:r>
      <w:r>
        <w:t xml:space="preserve">Date: _______________</w:t>
      </w:r>
    </w:p>
    <w:bookmarkEnd w:id="26"/>
    <w:p>
      <w:pPr>
        <w:pStyle w:val="BodyText"/>
      </w:pPr>
      <w:r>
        <w:t xml:space="preserve">This Invoice was generated for the Teacher Secondary professional services sector in Russia Moscow. Document reference: RUS-MOW-TS-2025-04782. For inquiries regarding this Invoice, please contact the issuing office at the Moscow State Secondary Education Institute, 14 Leninsky Avenue, Russia Moscow, 119991. This document is the property of the issuing party and may not be reproduced without written authorization.</w:t>
      </w:r>
    </w:p>
    <w:p>
      <w:pPr>
        <w:pStyle w:val="BodyText"/>
      </w:pPr>
      <w:r>
        <w:t xml:space="preserve">© 2025 Moscow State Secondary Education Institute — Teacher Secondary Services Division.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Secondary Services - Russia Moscow</dc:title>
  <dc:creator/>
  <dc:language>en</dc:language>
  <cp:keywords/>
  <dcterms:created xsi:type="dcterms:W3CDTF">2026-10-10T03:45:44Z</dcterms:created>
  <dcterms:modified xsi:type="dcterms:W3CDTF">2026-10-10T03:45:44Z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