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Secondary</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gymnasium-no.-214-pushkin-heritage"/>
    <w:p>
      <w:pPr>
        <w:pStyle w:val="Heading1"/>
      </w:pPr>
      <w:r>
        <w:t xml:space="preserve">Gymnasium No. 214 "Pushkin Heritage"</w:t>
      </w:r>
    </w:p>
    <w:p>
      <w:pPr>
        <w:pStyle w:val="FirstParagraph"/>
      </w:pPr>
      <w:r>
        <w:t xml:space="preserve">Department of Secondary Education</w:t>
      </w:r>
    </w:p>
    <w:p>
      <w:pPr>
        <w:pStyle w:val="BodyText"/>
      </w:pPr>
      <w:r>
        <w:t xml:space="preserve">12, Fontanka Embankment, Saint Petersburg, 191025, Russian Federation</w:t>
      </w:r>
    </w:p>
    <w:p>
      <w:pPr>
        <w:pStyle w:val="BodyText"/>
      </w:pPr>
      <w:r>
        <w:t xml:space="preserve">Tel: +7 (812) 575-43-21 | Email: finance@gymnasium214.spb.ru</w:t>
      </w:r>
    </w:p>
    <w:p>
      <w:pPr>
        <w:pStyle w:val="BodyText"/>
      </w:pPr>
      <w:r>
        <w:t xml:space="preserve">INN: 7805123456 | KPP: 780501001 | OGRN: 1027800123456</w:t>
      </w:r>
    </w:p>
    <w:bookmarkEnd w:id="20"/>
    <w:bookmarkStart w:id="21" w:name="invoice"/>
    <w:p>
      <w:pPr>
        <w:pStyle w:val="Heading2"/>
      </w:pPr>
      <w:r>
        <w:t xml:space="preserve">INVOICE</w:t>
      </w:r>
    </w:p>
    <w:p>
      <w:pPr>
        <w:pStyle w:val="FirstParagraph"/>
      </w:pPr>
      <w:r>
        <w:t xml:space="preserve">Invoice No. INV-SPB-2025-00487</w:t>
      </w:r>
    </w:p>
    <w:p>
      <w:pPr>
        <w:pStyle w:val="BodyText"/>
      </w:pPr>
      <w:r>
        <w:t xml:space="preserve">Date of Issue: 15 June 2025</w:t>
      </w:r>
    </w:p>
    <w:p>
      <w:pPr>
        <w:pStyle w:val="BodyText"/>
      </w:pPr>
      <w:r>
        <w:t xml:space="preserve">Period: May 2025 – June 2025</w:t>
      </w:r>
    </w:p>
    <w:bookmarkEnd w:id="21"/>
    <w:bookmarkStart w:id="22" w:name="billed-to-client"/>
    <w:p>
      <w:pPr>
        <w:pStyle w:val="Heading3"/>
      </w:pPr>
      <w:r>
        <w:t xml:space="preserve">Billed To (Client)</w:t>
      </w:r>
    </w:p>
    <w:p>
      <w:pPr>
        <w:pStyle w:val="FirstParagraph"/>
      </w:pPr>
      <w:r>
        <w:rPr>
          <w:bCs/>
          <w:b/>
        </w:rPr>
        <w:t xml:space="preserve">Ministry of Education of Saint Petersburg</w:t>
      </w:r>
    </w:p>
    <w:p>
      <w:pPr>
        <w:pStyle w:val="BodyText"/>
      </w:pPr>
      <w:r>
        <w:t xml:space="preserve">Department of Secondary School Funding</w:t>
      </w:r>
    </w:p>
    <w:p>
      <w:pPr>
        <w:pStyle w:val="BodyText"/>
      </w:pPr>
      <w:r>
        <w:t xml:space="preserve">44, Vasilyevsky Island, Saint Petersburg, 199034, Russia</w:t>
      </w:r>
    </w:p>
    <w:p>
      <w:pPr>
        <w:pStyle w:val="BodyText"/>
      </w:pPr>
      <w:r>
        <w:t xml:space="preserve">Attn: Director A. V. Kuznetsov</w:t>
      </w:r>
    </w:p>
    <w:bookmarkEnd w:id="22"/>
    <w:bookmarkStart w:id="23" w:name="service-provider"/>
    <w:p>
      <w:pPr>
        <w:pStyle w:val="Heading3"/>
      </w:pPr>
      <w:r>
        <w:t xml:space="preserve">Service Provider</w:t>
      </w:r>
    </w:p>
    <w:p>
      <w:pPr>
        <w:pStyle w:val="FirstParagraph"/>
      </w:pPr>
      <w:r>
        <w:rPr>
          <w:bCs/>
          <w:b/>
        </w:rPr>
        <w:t xml:space="preserve">Gymnasium No. 214 "Pushkin Heritage"</w:t>
      </w:r>
    </w:p>
    <w:p>
      <w:pPr>
        <w:pStyle w:val="BodyText"/>
      </w:pPr>
      <w:r>
        <w:t xml:space="preserve">Teacher Secondary – Mathematics &amp; Physics Division</w:t>
      </w:r>
    </w:p>
    <w:p>
      <w:pPr>
        <w:pStyle w:val="BodyText"/>
      </w:pPr>
      <w:r>
        <w:t xml:space="preserve">12, Fontanka Embankment, Saint Petersburg, 191025, Russia</w:t>
      </w:r>
    </w:p>
    <w:p>
      <w:pPr>
        <w:pStyle w:val="BodyText"/>
      </w:pPr>
      <w:r>
        <w:t xml:space="preserve">Account: 40702810400000012345, Sberbank, Saint Petersburg Branch</w:t>
      </w:r>
    </w:p>
    <w:bookmarkEnd w:id="23"/>
    <w:bookmarkStart w:id="24" w:name="invoice-details"/>
    <w:p>
      <w:pPr>
        <w:pStyle w:val="Heading3"/>
      </w:pPr>
      <w:r>
        <w:t xml:space="preserve">Invoice Details</w:t>
      </w:r>
    </w:p>
    <w:p>
      <w:pPr>
        <w:pStyle w:val="FirstParagraph"/>
      </w:pPr>
      <w:r>
        <w:t xml:space="preserve">Payment Due: 30 June 2025</w:t>
      </w:r>
    </w:p>
    <w:p>
      <w:pPr>
        <w:pStyle w:val="BodyText"/>
      </w:pPr>
      <w:r>
        <w:t xml:space="preserve">Currency: Russian Ruble (RUB)</w:t>
      </w:r>
    </w:p>
    <w:p>
      <w:pPr>
        <w:pStyle w:val="BodyText"/>
      </w:pPr>
      <w:r>
        <w:t xml:space="preserve">Payment Method: Bank Transfer</w:t>
      </w:r>
    </w:p>
    <w:bookmarkEnd w:id="24"/>
    <w:bookmarkStart w:id="27" w:name="Xd8a0a36f9fc351b6b50b8b2009c0f214b90311e"/>
    <w:p>
      <w:pPr>
        <w:pStyle w:val="Heading2"/>
      </w:pPr>
      <w:r>
        <w:t xml:space="preserve">Description of Services Rendered – Teacher Secondary Programme</w:t>
      </w:r>
    </w:p>
    <w:p>
      <w:pPr>
        <w:pStyle w:val="FirstParagraph"/>
      </w:pPr>
      <w:r>
        <w:t xml:space="preserve">This Invoice is issued by Gymnasium No. 214 "Pushkin Heritage" in Saint Petersburg, Russia, in accordance with the contractual agreement (Contract No. SPB-EDU-2025-1142) governing the provision of</w:t>
      </w:r>
      <w:r>
        <w:t xml:space="preserve"> </w:t>
      </w:r>
      <w:r>
        <w:t xml:space="preserve">Teacher Secondary</w:t>
      </w:r>
      <w:r>
        <w:t xml:space="preserve"> </w:t>
      </w:r>
      <w:r>
        <w:t xml:space="preserve">instructional services for the academic term May–June 2025. The services described below were delivered by certified secondary education faculty members to students enrolled in grades 8 through 11 of the secondary school programme, in full compliance with the Federal State Educational Standards (FSES) of the Russian Federation and the municipal regulations of the Saint Petersburg Department of Education.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Teacher Secondary</w:t>
            </w:r>
          </w:p>
        </w:tc>
        <w:tc>
          <w:tcPr/>
          <w:p>
            <w:pPr>
              <w:pStyle w:val="Compact"/>
              <w:jc w:val="left"/>
            </w:pPr>
            <w:r>
              <w:t xml:space="preserve">Hours</w:t>
            </w:r>
          </w:p>
        </w:tc>
        <w:tc>
          <w:tcPr/>
          <w:p>
            <w:pPr>
              <w:pStyle w:val="Compact"/>
              <w:jc w:val="left"/>
            </w:pPr>
            <w:r>
              <w:t xml:space="preserve">Rate (RUB/hr)</w:t>
            </w:r>
          </w:p>
        </w:tc>
        <w:tc>
          <w:tcPr/>
          <w:p>
            <w:pPr>
              <w:pStyle w:val="Compact"/>
              <w:jc w:val="left"/>
            </w:pPr>
            <w:r>
              <w:t xml:space="preserve">Amount (RUB)</w:t>
            </w:r>
          </w:p>
        </w:tc>
      </w:tr>
      <w:tr>
        <w:tc>
          <w:tcPr/>
          <w:p>
            <w:pPr>
              <w:pStyle w:val="Compact"/>
              <w:jc w:val="left"/>
            </w:pPr>
            <w:r>
              <w:t xml:space="preserve">1</w:t>
            </w:r>
          </w:p>
        </w:tc>
        <w:tc>
          <w:tcPr/>
          <w:p>
            <w:pPr>
              <w:pStyle w:val="Compact"/>
              <w:jc w:val="left"/>
            </w:pPr>
            <w:r>
              <w:t xml:space="preserve">Secondary Mathematics Instruction – Grades 9 &amp; 10 (Algebra, Geometry, Trigonometry) delivered at the Fontanka Embankment campus, Saint Petersburg</w:t>
            </w:r>
          </w:p>
        </w:tc>
        <w:tc>
          <w:tcPr/>
          <w:p>
            <w:pPr>
              <w:pStyle w:val="Compact"/>
              <w:jc w:val="left"/>
            </w:pPr>
            <w:r>
              <w:t xml:space="preserve">Prof. E. M. Volkova</w:t>
            </w:r>
          </w:p>
        </w:tc>
        <w:tc>
          <w:tcPr/>
          <w:p>
            <w:pPr>
              <w:pStyle w:val="Compact"/>
              <w:jc w:val="left"/>
            </w:pPr>
            <w:r>
              <w:t xml:space="preserve">120</w:t>
            </w:r>
          </w:p>
        </w:tc>
        <w:tc>
          <w:tcPr/>
          <w:p>
            <w:pPr>
              <w:pStyle w:val="Compact"/>
              <w:jc w:val="left"/>
            </w:pPr>
            <w:r>
              <w:t xml:space="preserve">1,850</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Secondary Physics Laboratory Sessions – Grades 10 &amp; 11 (Mechanics, Electromagnetism, Optics) conducted in the Saint Petersburg science wing</w:t>
            </w:r>
          </w:p>
        </w:tc>
        <w:tc>
          <w:tcPr/>
          <w:p>
            <w:pPr>
              <w:pStyle w:val="Compact"/>
              <w:jc w:val="left"/>
            </w:pPr>
            <w:r>
              <w:t xml:space="preserve">Dr. S. A. Petrov</w:t>
            </w:r>
          </w:p>
        </w:tc>
        <w:tc>
          <w:tcPr/>
          <w:p>
            <w:pPr>
              <w:pStyle w:val="Compact"/>
              <w:jc w:val="left"/>
            </w:pPr>
            <w:r>
              <w:t xml:space="preserve">96</w:t>
            </w:r>
          </w:p>
        </w:tc>
        <w:tc>
          <w:tcPr/>
          <w:p>
            <w:pPr>
              <w:pStyle w:val="Compact"/>
              <w:jc w:val="left"/>
            </w:pPr>
            <w:r>
              <w:t xml:space="preserve">2,100</w:t>
            </w:r>
          </w:p>
        </w:tc>
        <w:tc>
          <w:tcPr/>
          <w:p>
            <w:pPr>
              <w:pStyle w:val="Compact"/>
              <w:jc w:val="left"/>
            </w:pPr>
            <w:r>
              <w:t xml:space="preserve">201,600.00</w:t>
            </w:r>
          </w:p>
        </w:tc>
      </w:tr>
      <w:tr>
        <w:tc>
          <w:tcPr/>
          <w:p>
            <w:pPr>
              <w:pStyle w:val="Compact"/>
              <w:jc w:val="left"/>
            </w:pPr>
            <w:r>
              <w:t xml:space="preserve">3</w:t>
            </w:r>
          </w:p>
        </w:tc>
        <w:tc>
          <w:tcPr/>
          <w:p>
            <w:pPr>
              <w:pStyle w:val="Compact"/>
              <w:jc w:val="left"/>
            </w:pPr>
            <w:r>
              <w:t xml:space="preserve">Secondary Russian Language &amp; Literature – Grades 8–11 (Pushkin, Dostoevsky, Tolstoy curriculum) per Saint Petersburg municipal syllabus</w:t>
            </w:r>
          </w:p>
        </w:tc>
        <w:tc>
          <w:tcPr/>
          <w:p>
            <w:pPr>
              <w:pStyle w:val="Compact"/>
              <w:jc w:val="left"/>
            </w:pPr>
            <w:r>
              <w:t xml:space="preserve">Ms. O. I. Smirnova</w:t>
            </w:r>
          </w:p>
        </w:tc>
        <w:tc>
          <w:tcPr/>
          <w:p>
            <w:pPr>
              <w:pStyle w:val="Compact"/>
              <w:jc w:val="left"/>
            </w:pPr>
            <w:r>
              <w:t xml:space="preserve">144</w:t>
            </w:r>
          </w:p>
        </w:tc>
        <w:tc>
          <w:tcPr/>
          <w:p>
            <w:pPr>
              <w:pStyle w:val="Compact"/>
              <w:jc w:val="left"/>
            </w:pPr>
            <w:r>
              <w:t xml:space="preserve">1,650</w:t>
            </w:r>
          </w:p>
        </w:tc>
        <w:tc>
          <w:tcPr/>
          <w:p>
            <w:pPr>
              <w:pStyle w:val="Compact"/>
              <w:jc w:val="left"/>
            </w:pPr>
            <w:r>
              <w:t xml:space="preserve">237,600.00</w:t>
            </w:r>
          </w:p>
        </w:tc>
      </w:tr>
      <w:tr>
        <w:tc>
          <w:tcPr/>
          <w:p>
            <w:pPr>
              <w:pStyle w:val="Compact"/>
              <w:jc w:val="left"/>
            </w:pPr>
            <w:r>
              <w:t xml:space="preserve">4</w:t>
            </w:r>
          </w:p>
        </w:tc>
        <w:tc>
          <w:tcPr/>
          <w:p>
            <w:pPr>
              <w:pStyle w:val="Compact"/>
              <w:jc w:val="left"/>
            </w:pPr>
            <w:r>
              <w:t xml:space="preserve">Secondary English Language Instruction – Grades 9–11 (CEFR B1–B2 level) with preparation for the Unified State Exam (EGE)</w:t>
            </w:r>
          </w:p>
        </w:tc>
        <w:tc>
          <w:tcPr/>
          <w:p>
            <w:pPr>
              <w:pStyle w:val="Compact"/>
              <w:jc w:val="left"/>
            </w:pPr>
            <w:r>
              <w:t xml:space="preserve">Mr. D. K. Ivanov</w:t>
            </w:r>
          </w:p>
        </w:tc>
        <w:tc>
          <w:tcPr/>
          <w:p>
            <w:pPr>
              <w:pStyle w:val="Compact"/>
              <w:jc w:val="left"/>
            </w:pPr>
            <w:r>
              <w:t xml:space="preserve">108</w:t>
            </w:r>
          </w:p>
        </w:tc>
        <w:tc>
          <w:tcPr/>
          <w:p>
            <w:pPr>
              <w:pStyle w:val="Compact"/>
              <w:jc w:val="left"/>
            </w:pPr>
            <w:r>
              <w:t xml:space="preserve">1,900</w:t>
            </w:r>
          </w:p>
        </w:tc>
        <w:tc>
          <w:tcPr/>
          <w:p>
            <w:pPr>
              <w:pStyle w:val="Compact"/>
              <w:jc w:val="left"/>
            </w:pPr>
            <w:r>
              <w:t xml:space="preserve">205,200.00</w:t>
            </w:r>
          </w:p>
        </w:tc>
      </w:tr>
      <w:tr>
        <w:tc>
          <w:tcPr/>
          <w:p>
            <w:pPr>
              <w:pStyle w:val="Compact"/>
              <w:jc w:val="left"/>
            </w:pPr>
            <w:r>
              <w:t xml:space="preserve">5</w:t>
            </w:r>
          </w:p>
        </w:tc>
        <w:tc>
          <w:tcPr/>
          <w:p>
            <w:pPr>
              <w:pStyle w:val="Compact"/>
              <w:jc w:val="left"/>
            </w:pPr>
            <w:r>
              <w:t xml:space="preserve">Secondary History &amp; Social Studies – Grades 10 &amp; 11 (Russian History, World History, Civic Education) aligned with FSES requirements</w:t>
            </w:r>
          </w:p>
        </w:tc>
        <w:tc>
          <w:tcPr/>
          <w:p>
            <w:pPr>
              <w:pStyle w:val="Compact"/>
              <w:jc w:val="left"/>
            </w:pPr>
            <w:r>
              <w:t xml:space="preserve">Prof. N. V. Orlova</w:t>
            </w:r>
          </w:p>
        </w:tc>
        <w:tc>
          <w:tcPr/>
          <w:p>
            <w:pPr>
              <w:pStyle w:val="Compact"/>
              <w:jc w:val="left"/>
            </w:pPr>
            <w:r>
              <w:t xml:space="preserve">112</w:t>
            </w:r>
          </w:p>
        </w:tc>
        <w:tc>
          <w:tcPr/>
          <w:p>
            <w:pPr>
              <w:pStyle w:val="Compact"/>
              <w:jc w:val="left"/>
            </w:pPr>
            <w:r>
              <w:t xml:space="preserve">1,750</w:t>
            </w:r>
          </w:p>
        </w:tc>
        <w:tc>
          <w:tcPr/>
          <w:p>
            <w:pPr>
              <w:pStyle w:val="Compact"/>
              <w:jc w:val="left"/>
            </w:pPr>
            <w:r>
              <w:t xml:space="preserve">196,000.00</w:t>
            </w:r>
          </w:p>
        </w:tc>
      </w:tr>
      <w:tr>
        <w:tc>
          <w:tcPr/>
          <w:p>
            <w:pPr>
              <w:pStyle w:val="Compact"/>
              <w:jc w:val="left"/>
            </w:pPr>
            <w:r>
              <w:t xml:space="preserve">6</w:t>
            </w:r>
          </w:p>
        </w:tc>
        <w:tc>
          <w:tcPr/>
          <w:p>
            <w:pPr>
              <w:pStyle w:val="Compact"/>
              <w:jc w:val="left"/>
            </w:pPr>
            <w:r>
              <w:t xml:space="preserve">Teacher Secondary Professional Development &amp; Curriculum Review – Monthly pedagogical council meetings, Saint Petersburg Education Authority compliance audit</w:t>
            </w:r>
          </w:p>
        </w:tc>
        <w:tc>
          <w:tcPr/>
          <w:p>
            <w:pPr>
              <w:pStyle w:val="Compact"/>
              <w:jc w:val="left"/>
            </w:pPr>
            <w:r>
              <w:t xml:space="preserve">Department Head</w:t>
            </w:r>
          </w:p>
        </w:tc>
        <w:tc>
          <w:tcPr/>
          <w:p>
            <w:pPr>
              <w:pStyle w:val="Compact"/>
              <w:jc w:val="left"/>
            </w:pPr>
            <w:r>
              <w:t xml:space="preserve">24</w:t>
            </w:r>
          </w:p>
        </w:tc>
        <w:tc>
          <w:tcPr/>
          <w:p>
            <w:pPr>
              <w:pStyle w:val="Compact"/>
              <w:jc w:val="left"/>
            </w:pPr>
            <w:r>
              <w:t xml:space="preserve">3,200</w:t>
            </w:r>
          </w:p>
        </w:tc>
        <w:tc>
          <w:tcPr/>
          <w:p>
            <w:pPr>
              <w:pStyle w:val="Compact"/>
              <w:jc w:val="left"/>
            </w:pPr>
            <w:r>
              <w:t xml:space="preserve">76,800.00</w:t>
            </w:r>
          </w:p>
        </w:tc>
      </w:tr>
      <w:tr>
        <w:tc>
          <w:tcPr/>
          <w:p>
            <w:pPr>
              <w:pStyle w:val="Compact"/>
              <w:jc w:val="left"/>
            </w:pPr>
            <w:r>
              <w:t xml:space="preserve">7</w:t>
            </w:r>
          </w:p>
        </w:tc>
        <w:tc>
          <w:tcPr/>
          <w:p>
            <w:pPr>
              <w:pStyle w:val="Compact"/>
              <w:jc w:val="left"/>
            </w:pPr>
            <w:r>
              <w:t xml:space="preserve">Supplementary Teacher Secondary Tutoring – Individual and small-group sessions for students preparing for the OGE (Grades 9) and EGE (Grades 11) examinations in Saint Petersburg</w:t>
            </w:r>
          </w:p>
        </w:tc>
        <w:tc>
          <w:tcPr/>
          <w:p>
            <w:pPr>
              <w:pStyle w:val="Compact"/>
              <w:jc w:val="left"/>
            </w:pPr>
            <w:r>
              <w:t xml:space="preserve">Multiple Faculty</w:t>
            </w:r>
          </w:p>
        </w:tc>
        <w:tc>
          <w:tcPr/>
          <w:p>
            <w:pPr>
              <w:pStyle w:val="Compact"/>
              <w:jc w:val="left"/>
            </w:pPr>
            <w:r>
              <w:t xml:space="preserve">80</w:t>
            </w:r>
          </w:p>
        </w:tc>
        <w:tc>
          <w:tcPr/>
          <w:p>
            <w:pPr>
              <w:pStyle w:val="Compact"/>
              <w:jc w:val="left"/>
            </w:pPr>
            <w:r>
              <w:t xml:space="preserve">2,400</w:t>
            </w:r>
          </w:p>
        </w:tc>
        <w:tc>
          <w:tcPr/>
          <w:p>
            <w:pPr>
              <w:pStyle w:val="Compact"/>
              <w:jc w:val="left"/>
            </w:pPr>
            <w:r>
              <w:t xml:space="preserve">192,000.00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(Services)</w:t>
            </w:r>
          </w:p>
        </w:tc>
        <w:tc>
          <w:tcPr/>
          <w:p>
            <w:pPr>
              <w:pStyle w:val="Compact"/>
              <w:jc w:val="right"/>
            </w:pPr>
            <w:r>
              <w:t xml:space="preserve">1,331,200.00 RUB</w:t>
            </w:r>
          </w:p>
        </w:tc>
      </w:tr>
      <w:tr>
        <w:tc>
          <w:tcPr/>
          <w:p>
            <w:pPr>
              <w:pStyle w:val="Compact"/>
              <w:jc w:val="left"/>
            </w:pPr>
            <w:r>
              <w:t xml:space="preserve">VAT (20% – Russian Federation)</w:t>
            </w:r>
          </w:p>
        </w:tc>
        <w:tc>
          <w:tcPr/>
          <w:p>
            <w:pPr>
              <w:pStyle w:val="Compact"/>
              <w:jc w:val="right"/>
            </w:pPr>
            <w:r>
              <w:t xml:space="preserve">266,240.00 RUB</w:t>
            </w:r>
          </w:p>
        </w:tc>
      </w:tr>
      <w:tr>
        <w:tc>
          <w:tcPr/>
          <w:p>
            <w:pPr>
              <w:pStyle w:val="Compact"/>
              <w:jc w:val="left"/>
            </w:pPr>
            <w:r>
              <w:t xml:space="preserve">Administrative Surcharge (Saint Petersburg Municipal Fee)</w:t>
            </w:r>
          </w:p>
        </w:tc>
        <w:tc>
          <w:tcPr/>
          <w:p>
            <w:pPr>
              <w:pStyle w:val="Compact"/>
              <w:jc w:val="right"/>
            </w:pPr>
            <w:r>
              <w:t xml:space="preserve">13,312.00 RUB</w:t>
            </w:r>
          </w:p>
        </w:tc>
      </w:tr>
      <w:tr>
        <w:tc>
          <w:tcPr/>
          <w:p>
            <w:pPr>
              <w:pStyle w:val="Compact"/>
              <w:jc w:val="left"/>
            </w:pPr>
            <w:r>
              <w:t xml:space="preserve">TOTAL AMOUNT DUE</w:t>
            </w:r>
          </w:p>
        </w:tc>
        <w:tc>
          <w:tcPr/>
          <w:p>
            <w:pPr>
              <w:pStyle w:val="Compact"/>
              <w:jc w:val="right"/>
            </w:pPr>
            <w:r>
              <w:t xml:space="preserve">1,610,752.00 RUB</w:t>
            </w:r>
          </w:p>
        </w:tc>
      </w:tr>
    </w:tbl>
    <w:bookmarkStart w:id="25" w:name="payment-terms-conditions"/>
    <w:p>
      <w:pPr>
        <w:pStyle w:val="Heading3"/>
      </w:pPr>
      <w:r>
        <w:t xml:space="preserve">Payment Terms &amp; Conditions</w:t>
      </w:r>
    </w:p>
    <w:p>
      <w:pPr>
        <w:pStyle w:val="FirstParagraph"/>
      </w:pPr>
      <w:r>
        <w:rPr>
          <w:bCs/>
          <w:b/>
        </w:rPr>
        <w:t xml:space="preserve">1.</w:t>
      </w:r>
      <w:r>
        <w:t xml:space="preserve"> </w:t>
      </w:r>
      <w:r>
        <w:t xml:space="preserve">Payment of the full Invoice amount of 1,610,752.00 Russian Rubles (RUB) is due no later than 30 June 2025 via bank transfer to the account specified above.</w:t>
      </w:r>
    </w:p>
    <w:p>
      <w:pPr>
        <w:pStyle w:val="BodyText"/>
      </w:pPr>
      <w:r>
        <w:rPr>
          <w:bCs/>
          <w:b/>
        </w:rPr>
        <w:t xml:space="preserve">2.</w:t>
      </w:r>
      <w:r>
        <w:t xml:space="preserve"> </w:t>
      </w:r>
      <w:r>
        <w:t xml:space="preserve">Late payments shall incur a penalty of 0.1% per calendar day of delay, in accordance with Article 317.1 of the Civil Code of the Russian Federation.</w:t>
      </w:r>
    </w:p>
    <w:p>
      <w:pPr>
        <w:pStyle w:val="BodyText"/>
      </w:pPr>
      <w:r>
        <w:rPr>
          <w:bCs/>
          <w:b/>
        </w:rPr>
        <w:t xml:space="preserve">3.</w:t>
      </w:r>
      <w:r>
        <w:t xml:space="preserve"> </w:t>
      </w:r>
      <w:r>
        <w:t xml:space="preserve">This Invoice covers the</w:t>
      </w:r>
      <w:r>
        <w:t xml:space="preserve"> </w:t>
      </w:r>
      <w:r>
        <w:t xml:space="preserve">Teacher Secondary</w:t>
      </w:r>
      <w:r>
        <w:t xml:space="preserve"> </w:t>
      </w:r>
      <w:r>
        <w:t xml:space="preserve">instructional services rendered exclusively at the Saint Petersburg campus of Gymnasium No. 214. No services were provided at satellite locations in Leningrad Oblast during this billing period.</w:t>
      </w:r>
    </w:p>
    <w:p>
      <w:pPr>
        <w:pStyle w:val="BodyText"/>
      </w:pPr>
      <w:r>
        <w:rPr>
          <w:bCs/>
          <w:b/>
        </w:rPr>
        <w:t xml:space="preserve">4.</w:t>
      </w:r>
      <w:r>
        <w:t xml:space="preserve"> </w:t>
      </w:r>
      <w:r>
        <w:t xml:space="preserve">All rates are inclusive of classroom materials, laboratory consumables, and digital learning platform access as mandated by the Saint Petersburg Department of Education for secondary school programmes.</w:t>
      </w:r>
    </w:p>
    <w:p>
      <w:pPr>
        <w:pStyle w:val="BodyText"/>
      </w:pPr>
      <w:r>
        <w:rPr>
          <w:bCs/>
          <w:b/>
        </w:rPr>
        <w:t xml:space="preserve">5.</w:t>
      </w:r>
      <w:r>
        <w:t xml:space="preserve"> </w:t>
      </w:r>
      <w:r>
        <w:t xml:space="preserve">Disputes regarding this Invoice shall be resolved through the Arbitration Court of Saint Petersburg and Leningrad Oblast, in accordance with the governing law of the Russian Federation.</w:t>
      </w:r>
    </w:p>
    <w:bookmarkEnd w:id="25"/>
    <w:bookmarkStart w:id="26" w:name="additional-notes-compliance-statements"/>
    <w:p>
      <w:pPr>
        <w:pStyle w:val="Heading3"/>
      </w:pPr>
      <w:r>
        <w:t xml:space="preserve">Additional Notes &amp; Compliance Statements</w:t>
      </w:r>
    </w:p>
    <w:p>
      <w:pPr>
        <w:numPr>
          <w:ilvl w:val="0"/>
          <w:numId w:val="1001"/>
        </w:numPr>
        <w:pStyle w:val="Compact"/>
      </w:pPr>
      <w:r>
        <w:t xml:space="preserve">This Invoice is issued in strict compliance with the Federal Law No. 402-FZ "On Accounting" of the Russian Federation and the municipal financial reporting regulations of Saint Petersburg.</w:t>
      </w:r>
    </w:p>
    <w:p>
      <w:pPr>
        <w:numPr>
          <w:ilvl w:val="0"/>
          <w:numId w:val="1001"/>
        </w:numPr>
        <w:pStyle w:val="Compact"/>
      </w:pPr>
      <w:r>
        <w:t xml:space="preserve">All</w:t>
      </w:r>
      <w:r>
        <w:t xml:space="preserve"> </w:t>
      </w:r>
      <w:r>
        <w:t xml:space="preserve">Teacher Secondary</w:t>
      </w:r>
      <w:r>
        <w:t xml:space="preserve"> </w:t>
      </w:r>
      <w:r>
        <w:t xml:space="preserve">personnel listed above hold valid pedagogical certifications issued by the Saint Petersburg State University of Education and are registered in the municipal teacher database under the 2025 academic year.</w:t>
      </w:r>
    </w:p>
    <w:p>
      <w:pPr>
        <w:numPr>
          <w:ilvl w:val="0"/>
          <w:numId w:val="1001"/>
        </w:numPr>
        <w:pStyle w:val="Compact"/>
      </w:pPr>
      <w:r>
        <w:t xml:space="preserve">The secondary education services described herein were delivered in accordance with the Federal State Educational Standard for Secondary General Education (FSES OOO/SGO) and the Saint Petersburg municipal curriculum framework effective from September 2024.</w:t>
      </w:r>
    </w:p>
    <w:p>
      <w:pPr>
        <w:numPr>
          <w:ilvl w:val="0"/>
          <w:numId w:val="1001"/>
        </w:numPr>
        <w:pStyle w:val="Compact"/>
      </w:pPr>
      <w:r>
        <w:t xml:space="preserve">Student data and academic records associated with this Invoice period are maintained in compliance with Federal Law No. 152-FZ "On Personal Data" of the Russian Federation.</w:t>
      </w:r>
    </w:p>
    <w:p>
      <w:pPr>
        <w:numPr>
          <w:ilvl w:val="0"/>
          <w:numId w:val="1001"/>
        </w:numPr>
        <w:pStyle w:val="Compact"/>
      </w:pPr>
      <w:r>
        <w:t xml:space="preserve">This document constitutes a legally binding financial record for the</w:t>
      </w:r>
      <w:r>
        <w:t xml:space="preserve"> </w:t>
      </w:r>
      <w:r>
        <w:t xml:space="preserve">Invoice</w:t>
      </w:r>
      <w:r>
        <w:t xml:space="preserve"> </w:t>
      </w:r>
      <w:r>
        <w:t xml:space="preserve">period specified and must be retained by both parties for a minimum of five (5) years per Russian tax code requirements.</w:t>
      </w:r>
    </w:p>
    <w:p>
      <w:pPr>
        <w:numPr>
          <w:ilvl w:val="0"/>
          <w:numId w:val="1001"/>
        </w:numPr>
        <w:pStyle w:val="Compact"/>
      </w:pPr>
      <w:r>
        <w:t xml:space="preserve">For questions regarding this Invoice or the</w:t>
      </w:r>
      <w:r>
        <w:t xml:space="preserve"> </w:t>
      </w:r>
      <w:r>
        <w:t xml:space="preserve">Teacher Secondary</w:t>
      </w:r>
      <w:r>
        <w:t xml:space="preserve"> </w:t>
      </w:r>
      <w:r>
        <w:t xml:space="preserve">service delivery in Saint Petersburg, please contact the Finance Office of Gymnasium No. 214 at finance@gymnasium214.spb.ru or +7 (812) 575-43-21, Monday through Friday, 09:00–17:00 Moscow Time (MSK).</w:t>
      </w:r>
    </w:p>
    <w:bookmarkEnd w:id="26"/>
    <w:p>
      <w:pPr>
        <w:pStyle w:val="FirstParagraph"/>
      </w:pPr>
      <w:r>
        <w:t xml:space="preserve">[ Official Seal – Gymnasium No. 214, Saint Petersburg ]</w:t>
      </w:r>
    </w:p>
    <w:p>
      <w:pPr>
        <w:pStyle w:val="BodyText"/>
      </w:pPr>
      <w:r>
        <w:t xml:space="preserve">Authorized Signatory:</w:t>
      </w:r>
    </w:p>
    <w:p>
      <w:pPr>
        <w:pStyle w:val="BodyText"/>
      </w:pPr>
      <w:r>
        <w:t xml:space="preserve">_______________________________</w:t>
      </w:r>
    </w:p>
    <w:p>
      <w:pPr>
        <w:pStyle w:val="BodyText"/>
      </w:pPr>
      <w:r>
        <w:t xml:space="preserve">T. A. Morozova, Chief Financial Officer</w:t>
      </w:r>
    </w:p>
    <w:p>
      <w:pPr>
        <w:pStyle w:val="BodyText"/>
      </w:pPr>
      <w:r>
        <w:t xml:space="preserve">Gymnasium No. 214 "Pushkin Heritage", Saint Petersburg, Russia</w:t>
      </w:r>
    </w:p>
    <w:p>
      <w:pPr>
        <w:pStyle w:val="BodyText"/>
      </w:pPr>
      <w:r>
        <w:rPr>
          <w:bCs/>
          <w:b/>
        </w:rPr>
        <w:t xml:space="preserve">Invoice No. INV-SPB-2025-00487</w:t>
      </w:r>
      <w:r>
        <w:t xml:space="preserve"> </w:t>
      </w:r>
      <w:r>
        <w:t xml:space="preserve">| Issued in Saint Petersburg, Russian Federation | 15 June 2025</w:t>
      </w:r>
    </w:p>
    <w:p>
      <w:pPr>
        <w:pStyle w:val="BodyText"/>
      </w:pPr>
      <w:r>
        <w:t xml:space="preserve">This Invoice is a valid financial document for the Teacher Secondary services rendered under Contract SPB-EDU-2025-1142.</w:t>
      </w:r>
    </w:p>
    <w:p>
      <w:pPr>
        <w:pStyle w:val="BodyText"/>
      </w:pPr>
      <w:r>
        <w:t xml:space="preserve">Gymnasium No. 214 "Pushkin Heritage" | 12, Fontanka Embankment, Saint Petersburg, 191025, Russia</w:t>
      </w:r>
    </w:p>
    <w:p>
      <w:pPr>
        <w:pStyle w:val="BodyText"/>
      </w:pPr>
      <w:r>
        <w:t xml:space="preserve">INN: 7805123456 | KPP: 780501001 | OGRN: 1027800123456 | Bank: Sberbank, Saint Petersburg Branch</w:t>
      </w:r>
    </w:p>
    <w:p>
      <w:pPr>
        <w:pStyle w:val="BodyText"/>
      </w:pPr>
      <w:r>
        <w:t xml:space="preserve">This document was generated electronically and carries the same legal force as a paper Invoice under Russian Federation law. No physical signature is required for electronic Invoice processing within the Saint Petersburg municipal education financial system.</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Secondary Services - Russia Saint Petersburg</dc:title>
  <dc:creator/>
  <dc:language>en</dc:language>
  <cp:keywords/>
  <dcterms:created xsi:type="dcterms:W3CDTF">2026-10-10T02:03:01Z</dcterms:created>
  <dcterms:modified xsi:type="dcterms:W3CDTF">2026-10-10T02:03:01Z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