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educare-secondary-solutions-ltd."/>
    <w:p>
      <w:pPr>
        <w:pStyle w:val="Heading1"/>
      </w:pPr>
      <w:r>
        <w:t xml:space="preserve">Educare Secondary Solutions Ltd.</w:t>
      </w:r>
    </w:p>
    <w:p>
      <w:pPr>
        <w:pStyle w:val="FirstParagraph"/>
      </w:pPr>
      <w:r>
        <w:t xml:space="preserve">Office 412, Al Faisaliah Tower, King Fahd Road</w:t>
      </w:r>
    </w:p>
    <w:p>
      <w:pPr>
        <w:pStyle w:val="BodyText"/>
      </w:pPr>
      <w:r>
        <w:t xml:space="preserve">Jeddah 23436, Saudi Arabia</w:t>
      </w:r>
    </w:p>
    <w:p>
      <w:pPr>
        <w:pStyle w:val="BodyText"/>
      </w:pPr>
      <w:r>
        <w:t xml:space="preserve">Tel: +966 12 654 7890 | Email: billing@educare-secondary.sa</w:t>
      </w:r>
    </w:p>
    <w:p>
      <w:pPr>
        <w:pStyle w:val="BodyText"/>
      </w:pPr>
      <w:r>
        <w:t xml:space="preserve">VAT Registration No.: 310123456700003</w:t>
      </w:r>
    </w:p>
    <w:p>
      <w:pPr>
        <w:pStyle w:val="BodyText"/>
      </w:pPr>
      <w:r>
        <w:t xml:space="preserve">CR No.: 1010456789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INV-2025-JED-00487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VAT Registered</w:t>
      </w:r>
    </w:p>
    <w:bookmarkEnd w:id="21"/>
    <w:bookmarkStart w:id="22" w:name="billed-to"/>
    <w:p>
      <w:pPr>
        <w:pStyle w:val="Heading3"/>
      </w:pPr>
      <w:r>
        <w:t xml:space="preserve">Billed To</w:t>
      </w:r>
    </w:p>
    <w:p>
      <w:pPr>
        <w:pStyle w:val="FirstParagraph"/>
      </w:pPr>
      <w:r>
        <w:rPr>
          <w:bCs/>
          <w:b/>
        </w:rPr>
        <w:t xml:space="preserve">Al Noor Secondary School</w:t>
      </w:r>
    </w:p>
    <w:p>
      <w:pPr>
        <w:pStyle w:val="BodyText"/>
      </w:pPr>
      <w:r>
        <w:t xml:space="preserve">Principal: Dr. Khalid Al-Otaibi</w:t>
      </w:r>
    </w:p>
    <w:p>
      <w:pPr>
        <w:pStyle w:val="BodyText"/>
      </w:pPr>
      <w:r>
        <w:t xml:space="preserve">Al Rawdah District, Jeddah 23542</w:t>
      </w:r>
    </w:p>
    <w:p>
      <w:pPr>
        <w:pStyle w:val="BodyText"/>
      </w:pPr>
      <w:r>
        <w:t xml:space="preserve">Saudi Arabia</w:t>
      </w:r>
    </w:p>
    <w:p>
      <w:pPr>
        <w:pStyle w:val="BodyText"/>
      </w:pPr>
      <w:r>
        <w:t xml:space="preserve">Tel: +966 12 555 3321</w:t>
      </w:r>
    </w:p>
    <w:p>
      <w:pPr>
        <w:pStyle w:val="BodyText"/>
      </w:pPr>
      <w:r>
        <w:t xml:space="preserve">Email: admin@alnoor-secondary.sa</w:t>
      </w:r>
    </w:p>
    <w:bookmarkEnd w:id="22"/>
    <w:bookmarkStart w:id="23" w:name="service-reference"/>
    <w:p>
      <w:pPr>
        <w:pStyle w:val="Heading3"/>
      </w:pPr>
      <w:r>
        <w:t xml:space="preserve">Service Reference</w:t>
      </w:r>
    </w:p>
    <w:p>
      <w:pPr>
        <w:pStyle w:val="FirstParagraph"/>
      </w:pPr>
      <w:r>
        <w:rPr>
          <w:bCs/>
          <w:b/>
        </w:rPr>
        <w:t xml:space="preserve">Service Type:</w:t>
      </w:r>
      <w:r>
        <w:t xml:space="preserve"> </w:t>
      </w:r>
      <w:r>
        <w:t xml:space="preserve">Teacher Secondary</w:t>
      </w:r>
      <w:r>
        <w:t xml:space="preserve"> </w:t>
      </w:r>
      <w:r>
        <w:t xml:space="preserve">Placement &amp; Instruction</w:t>
      </w:r>
    </w:p>
    <w:p>
      <w:pPr>
        <w:pStyle w:val="BodyText"/>
      </w:pPr>
      <w:r>
        <w:rPr>
          <w:bCs/>
          <w:b/>
        </w:rPr>
        <w:t xml:space="preserve">Academic Year:</w:t>
      </w:r>
      <w:r>
        <w:t xml:space="preserve"> </w:t>
      </w:r>
      <w:r>
        <w:t xml:space="preserve">1446/1447 AH (2025/2026)</w:t>
      </w:r>
    </w:p>
    <w:p>
      <w:pPr>
        <w:pStyle w:val="BodyText"/>
      </w:pPr>
      <w:r>
        <w:rPr>
          <w:bCs/>
          <w:b/>
        </w:rPr>
        <w:t xml:space="preserve">Subject Area:</w:t>
      </w:r>
      <w:r>
        <w:t xml:space="preserve"> </w:t>
      </w:r>
      <w:r>
        <w:t xml:space="preserve">Mathematics &amp; Physics</w:t>
      </w:r>
    </w:p>
    <w:p>
      <w:pPr>
        <w:pStyle w:val="BodyText"/>
      </w:pPr>
      <w:r>
        <w:rPr>
          <w:bCs/>
          <w:b/>
        </w:rPr>
        <w:t xml:space="preserve">Grade Level:</w:t>
      </w:r>
      <w:r>
        <w:t xml:space="preserve"> </w:t>
      </w:r>
      <w:r>
        <w:t xml:space="preserve">Secondary (Grades 10–12)</w:t>
      </w:r>
    </w:p>
    <w:p>
      <w:pPr>
        <w:pStyle w:val="BodyText"/>
      </w:pPr>
      <w:r>
        <w:rPr>
          <w:bCs/>
          <w:b/>
        </w:rPr>
        <w:t xml:space="preserve">Contract Ref:</w:t>
      </w:r>
      <w:r>
        <w:t xml:space="preserve"> </w:t>
      </w:r>
      <w:r>
        <w:t xml:space="preserve">CST-SEC-JED-2025-112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Teacher Secondary</w:t>
            </w:r>
            <w:r>
              <w:t xml:space="preserve"> </w:t>
            </w:r>
            <w:r>
              <w:t xml:space="preserve">– Full-time Mathematics Instructor (Grade 10–12), Jeddah campus. Includes 28 teaching hours per week, curriculum development, and assessment design aligned with the Saudi Ministry of Education secondary curriculum standards.</w:t>
            </w:r>
          </w:p>
        </w:tc>
        <w:tc>
          <w:tcPr/>
          <w:p>
            <w:pPr>
              <w:pStyle w:val="Compact"/>
              <w:jc w:val="left"/>
            </w:pPr>
            <w:r>
              <w:t xml:space="preserve">10 months</w:t>
            </w:r>
          </w:p>
        </w:tc>
        <w:tc>
          <w:tcPr/>
          <w:p>
            <w:pPr>
              <w:pStyle w:val="Compact"/>
              <w:jc w:val="left"/>
            </w:pPr>
            <w:r>
              <w:t xml:space="preserve">18,500.00</w:t>
            </w:r>
          </w:p>
        </w:tc>
        <w:tc>
          <w:tcPr/>
          <w:p>
            <w:pPr>
              <w:pStyle w:val="Compact"/>
              <w:jc w:val="left"/>
            </w:pPr>
            <w:r>
              <w:t xml:space="preserve">185,000.00</w:t>
            </w:r>
          </w:p>
        </w:tc>
        <w:tc>
          <w:tcPr/>
          <w:p>
            <w:pPr>
              <w:pStyle w:val="Compact"/>
              <w:jc w:val="left"/>
            </w:pPr>
            <w:r>
              <w:t xml:space="preserve">27,750.00</w:t>
            </w:r>
          </w:p>
        </w:tc>
      </w:tr>
      <w:tr>
        <w:tc>
          <w:tcPr/>
          <w:p>
            <w:pPr>
              <w:pStyle w:val="Compact"/>
              <w:jc w:val="left"/>
            </w:pPr>
            <w:r>
              <w:t xml:space="preserve">2</w:t>
            </w:r>
          </w:p>
        </w:tc>
        <w:tc>
          <w:tcPr/>
          <w:p>
            <w:pPr>
              <w:pStyle w:val="Compact"/>
              <w:jc w:val="left"/>
            </w:pPr>
            <w:r>
              <w:rPr>
                <w:bCs/>
                <w:b/>
              </w:rPr>
              <w:t xml:space="preserve">Teacher Secondary</w:t>
            </w:r>
            <w:r>
              <w:t xml:space="preserve"> </w:t>
            </w:r>
            <w:r>
              <w:t xml:space="preserve">– Full-time Physics Instructor (Grade 11–12), Jeddah campus. Includes laboratory supervision, practical experiment planning, and integration of Saudi national science standards into the secondary physics programme.</w:t>
            </w:r>
          </w:p>
        </w:tc>
        <w:tc>
          <w:tcPr/>
          <w:p>
            <w:pPr>
              <w:pStyle w:val="Compact"/>
              <w:jc w:val="left"/>
            </w:pPr>
            <w:r>
              <w:t xml:space="preserve">10 months</w:t>
            </w:r>
          </w:p>
        </w:tc>
        <w:tc>
          <w:tcPr/>
          <w:p>
            <w:pPr>
              <w:pStyle w:val="Compact"/>
              <w:jc w:val="left"/>
            </w:pPr>
            <w:r>
              <w:t xml:space="preserve">17,200.00</w:t>
            </w:r>
          </w:p>
        </w:tc>
        <w:tc>
          <w:tcPr/>
          <w:p>
            <w:pPr>
              <w:pStyle w:val="Compact"/>
              <w:jc w:val="left"/>
            </w:pPr>
            <w:r>
              <w:t xml:space="preserve">172,000.00</w:t>
            </w:r>
          </w:p>
        </w:tc>
        <w:tc>
          <w:tcPr/>
          <w:p>
            <w:pPr>
              <w:pStyle w:val="Compact"/>
              <w:jc w:val="left"/>
            </w:pPr>
            <w:r>
              <w:t xml:space="preserve">25,800.00</w:t>
            </w:r>
          </w:p>
        </w:tc>
      </w:tr>
      <w:tr>
        <w:tc>
          <w:tcPr/>
          <w:p>
            <w:pPr>
              <w:pStyle w:val="Compact"/>
              <w:jc w:val="left"/>
            </w:pPr>
            <w:r>
              <w:t xml:space="preserve">3</w:t>
            </w:r>
          </w:p>
        </w:tc>
        <w:tc>
          <w:tcPr/>
          <w:p>
            <w:pPr>
              <w:pStyle w:val="Compact"/>
              <w:jc w:val="left"/>
            </w:pPr>
            <w:r>
              <w:rPr>
                <w:bCs/>
                <w:b/>
              </w:rPr>
              <w:t xml:space="preserve">Teacher Secondary</w:t>
            </w:r>
            <w:r>
              <w:t xml:space="preserve"> </w:t>
            </w:r>
            <w:r>
              <w:t xml:space="preserve">– Professional Development &amp; Training. Monthly workshops for the secondary teaching staff on differentiated instruction, technology-enhanced learning, and Saudi national assessment frameworks. Delivered on-site in Jeddah.</w:t>
            </w:r>
          </w:p>
        </w:tc>
        <w:tc>
          <w:tcPr/>
          <w:p>
            <w:pPr>
              <w:pStyle w:val="Compact"/>
              <w:jc w:val="left"/>
            </w:pPr>
            <w:r>
              <w:t xml:space="preserve">10 sessions</w:t>
            </w:r>
          </w:p>
        </w:tc>
        <w:tc>
          <w:tcPr/>
          <w:p>
            <w:pPr>
              <w:pStyle w:val="Compact"/>
              <w:jc w:val="left"/>
            </w:pPr>
            <w:r>
              <w:t xml:space="preserve">3,500.00</w:t>
            </w:r>
          </w:p>
        </w:tc>
        <w:tc>
          <w:tcPr/>
          <w:p>
            <w:pPr>
              <w:pStyle w:val="Compact"/>
              <w:jc w:val="left"/>
            </w:pPr>
            <w:r>
              <w:t xml:space="preserve">35,000.00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Teacher Secondary</w:t>
            </w:r>
            <w:r>
              <w:t xml:space="preserve"> </w:t>
            </w:r>
            <w:r>
              <w:t xml:space="preserve">– Curriculum Audit &amp; Alignment Report. Comprehensive review of the secondary mathematics and physics curriculum for compliance with the Saudi Ministry of Education directives and the National Transformation Programme (NTP) educational goals.</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Teacher Secondary</w:t>
            </w:r>
            <w:r>
              <w:t xml:space="preserve"> </w:t>
            </w:r>
            <w:r>
              <w:t xml:space="preserve">– Student Assessment &amp; Progress Monitoring. Design and administration of mid-term and end-of-term examinations for secondary students, including detailed performance analytics and individual student progress reports for parents in Jeddah.</w:t>
            </w:r>
          </w:p>
        </w:tc>
        <w:tc>
          <w:tcPr/>
          <w:p>
            <w:pPr>
              <w:pStyle w:val="Compact"/>
              <w:jc w:val="left"/>
            </w:pPr>
            <w:r>
              <w:t xml:space="preserve">2 cycles</w:t>
            </w:r>
          </w:p>
        </w:tc>
        <w:tc>
          <w:tcPr/>
          <w:p>
            <w:pPr>
              <w:pStyle w:val="Compact"/>
              <w:jc w:val="left"/>
            </w:pPr>
            <w:r>
              <w:t xml:space="preserve">8,000.00</w:t>
            </w:r>
          </w:p>
        </w:tc>
        <w:tc>
          <w:tcPr/>
          <w:p>
            <w:pPr>
              <w:pStyle w:val="Compact"/>
              <w:jc w:val="left"/>
            </w:pPr>
            <w:r>
              <w:t xml:space="preserve">16,000.00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t xml:space="preserve">420,000.00</w:t>
            </w:r>
          </w:p>
        </w:tc>
      </w:tr>
      <w:tr>
        <w:tc>
          <w:tcPr/>
          <w:p>
            <w:pPr>
              <w:pStyle w:val="Compact"/>
              <w:jc w:val="left"/>
            </w:pPr>
            <w:r>
              <w:t xml:space="preserve">VAT @ 15% (SAR)</w:t>
            </w:r>
          </w:p>
        </w:tc>
        <w:tc>
          <w:tcPr/>
          <w:p>
            <w:pPr>
              <w:pStyle w:val="Compact"/>
              <w:jc w:val="left"/>
            </w:pPr>
            <w:r>
              <w:t xml:space="preserve">63,000.00</w:t>
            </w:r>
          </w:p>
        </w:tc>
      </w:tr>
      <w:tr>
        <w:tc>
          <w:tcPr/>
          <w:p>
            <w:pPr>
              <w:pStyle w:val="Compact"/>
              <w:jc w:val="left"/>
            </w:pPr>
            <w:r>
              <w:t xml:space="preserve">Discount – Early Payment (2%)</w:t>
            </w:r>
          </w:p>
        </w:tc>
        <w:tc>
          <w:tcPr/>
          <w:p>
            <w:pPr>
              <w:pStyle w:val="Compact"/>
              <w:jc w:val="left"/>
            </w:pPr>
            <w:r>
              <w:t xml:space="preserve">(8,400.00)</w:t>
            </w:r>
          </w:p>
        </w:tc>
      </w:tr>
      <w:tr>
        <w:tc>
          <w:tcPr/>
          <w:p>
            <w:pPr>
              <w:pStyle w:val="Compact"/>
              <w:jc w:val="left"/>
            </w:pPr>
            <w:r>
              <w:t xml:space="preserve">Grand Total Due (SAR)</w:t>
            </w:r>
          </w:p>
        </w:tc>
        <w:tc>
          <w:tcPr/>
          <w:p>
            <w:pPr>
              <w:pStyle w:val="Compact"/>
              <w:jc w:val="left"/>
            </w:pPr>
            <w:r>
              <w:t xml:space="preserve">474,600.00</w:t>
            </w:r>
          </w:p>
        </w:tc>
      </w:tr>
    </w:tbl>
    <w:bookmarkStart w:id="24" w:name="notes-terms-conditions"/>
    <w:p>
      <w:pPr>
        <w:pStyle w:val="Heading3"/>
      </w:pPr>
      <w:r>
        <w:t xml:space="preserve">Notes, Terms &amp; Conditions</w:t>
      </w:r>
    </w:p>
    <w:p>
      <w:pPr>
        <w:pStyle w:val="FirstParagraph"/>
      </w:pPr>
      <w:r>
        <w:t xml:space="preserve">This invoice pertains to</w:t>
      </w:r>
      <w:r>
        <w:t xml:space="preserve"> </w:t>
      </w:r>
      <w:r>
        <w:rPr>
          <w:bCs/>
          <w:b/>
        </w:rPr>
        <w:t xml:space="preserve">Teacher Secondary</w:t>
      </w:r>
      <w:r>
        <w:t xml:space="preserve"> </w:t>
      </w:r>
      <w:r>
        <w:t xml:space="preserve">services rendered and to be rendered at Al Noor Secondary School, located in the city of Jeddah, Kingdom of Saudi Arabia. All services are governed by the terms of Contract Reference CST-SEC-JED-2025-112 and comply with the regulations set forth by the Saudi Ministry of Education and the Saudi Ministry of Human Resources and Social Development.</w:t>
      </w:r>
    </w:p>
    <w:p>
      <w:pPr>
        <w:numPr>
          <w:ilvl w:val="0"/>
          <w:numId w:val="1001"/>
        </w:numPr>
        <w:pStyle w:val="Compact"/>
      </w:pPr>
      <w:r>
        <w:t xml:space="preserve">Payment is due within fifteen (15) calendar days from the issue date of this invoice. Late payments shall incur a penalty of 1.5% per month as per Saudi commercial law.</w:t>
      </w:r>
    </w:p>
    <w:p>
      <w:pPr>
        <w:numPr>
          <w:ilvl w:val="0"/>
          <w:numId w:val="1001"/>
        </w:numPr>
        <w:pStyle w:val="Compact"/>
      </w:pPr>
      <w:r>
        <w:t xml:space="preserve">All</w:t>
      </w:r>
      <w:r>
        <w:t xml:space="preserve"> </w:t>
      </w:r>
      <w:r>
        <w:rPr>
          <w:bCs/>
          <w:b/>
        </w:rPr>
        <w:t xml:space="preserve">Teacher Secondary</w:t>
      </w:r>
      <w:r>
        <w:t xml:space="preserve"> </w:t>
      </w:r>
      <w:r>
        <w:t xml:space="preserve">personnel assigned under this contract hold valid Saudi teaching licences and Iqama (residence permit) documentation. Copies are available upon request.</w:t>
      </w:r>
    </w:p>
    <w:p>
      <w:pPr>
        <w:numPr>
          <w:ilvl w:val="0"/>
          <w:numId w:val="1001"/>
        </w:numPr>
        <w:pStyle w:val="Compact"/>
      </w:pPr>
      <w:r>
        <w:t xml:space="preserve">The 15% Value Added Tax (VAT) is applied in accordance with the Zakat, Tax and Customs Authority (ZATCA) regulations of Saudi Arabia. This invoice is issued in compliance with the e-invoicing requirements of ZATCA.</w:t>
      </w:r>
    </w:p>
    <w:p>
      <w:pPr>
        <w:numPr>
          <w:ilvl w:val="0"/>
          <w:numId w:val="1001"/>
        </w:numPr>
        <w:pStyle w:val="Compact"/>
      </w:pPr>
      <w:r>
        <w:t xml:space="preserve">Services are to be delivered at the school premises in Jeddah, Saudi Arabia, during the standard academic term. Any extension beyond the contracted period will be subject to a separate amendment and additional invoicing.</w:t>
      </w:r>
    </w:p>
    <w:p>
      <w:pPr>
        <w:numPr>
          <w:ilvl w:val="0"/>
          <w:numId w:val="1001"/>
        </w:numPr>
        <w:pStyle w:val="Compact"/>
      </w:pPr>
      <w:r>
        <w:t xml:space="preserve">Payment may be made via bank transfer to: Riyad Bank, Account Name: Educare Secondary Solutions Ltd., IBAN: SA03 8000 0000 6080 1016 7519. Please reference Invoice No. INV-2025-JED-00487 in all correspondence.</w:t>
      </w:r>
    </w:p>
    <w:p>
      <w:pPr>
        <w:numPr>
          <w:ilvl w:val="0"/>
          <w:numId w:val="1001"/>
        </w:numPr>
        <w:pStyle w:val="Compact"/>
      </w:pPr>
      <w:r>
        <w:t xml:space="preserve">This invoice is valid for 90 days from the issue date. After this period, the rates and terms may be subject to revision.</w:t>
      </w:r>
    </w:p>
    <w:p>
      <w:pPr>
        <w:numPr>
          <w:ilvl w:val="0"/>
          <w:numId w:val="1001"/>
        </w:numPr>
        <w:pStyle w:val="Compact"/>
      </w:pPr>
      <w:r>
        <w:t xml:space="preserve">Any disputes arising from this invoice or the associated</w:t>
      </w:r>
      <w:r>
        <w:t xml:space="preserve"> </w:t>
      </w:r>
      <w:r>
        <w:rPr>
          <w:bCs/>
          <w:b/>
        </w:rPr>
        <w:t xml:space="preserve">Teacher Secondary</w:t>
      </w:r>
      <w:r>
        <w:t xml:space="preserve"> </w:t>
      </w:r>
      <w:r>
        <w:t xml:space="preserve">services shall be resolved through the competent courts in Jeddah, Saudi Arabia, in accordance with Saudi law.</w:t>
      </w:r>
    </w:p>
    <w:p>
      <w:pPr>
        <w:pStyle w:val="FirstParagraph"/>
      </w:pPr>
      <w:r>
        <w:rPr>
          <w:bCs/>
          <w:b/>
        </w:rPr>
        <w:t xml:space="preserve">Authorized Signatory:</w:t>
      </w:r>
      <w:r>
        <w:t xml:space="preserve"> </w:t>
      </w:r>
      <w:r>
        <w:t xml:space="preserve">Sarah Al-Mutairi, Finance Director, Educare Secondary Solutions Ltd., Jeddah, Saudi Arabia</w:t>
      </w:r>
    </w:p>
    <w:bookmarkEnd w:id="24"/>
    <w:p>
      <w:pPr>
        <w:pStyle w:val="BodyText"/>
      </w:pPr>
      <w:r>
        <w:rPr>
          <w:bCs/>
          <w:b/>
        </w:rPr>
        <w:t xml:space="preserve">Educare Secondary Solutions Ltd.</w:t>
      </w:r>
      <w:r>
        <w:t xml:space="preserve"> </w:t>
      </w:r>
      <w:r>
        <w:t xml:space="preserve">| Office 412, Al Faisaliah Tower, King Fahd Road, Jeddah 23436, Saudi Arabia</w:t>
      </w:r>
    </w:p>
    <w:p>
      <w:pPr>
        <w:pStyle w:val="BodyText"/>
      </w:pPr>
      <w:r>
        <w:t xml:space="preserve">Tel: +966 12 654 7890 | Email: billing@educare-secondary.sa | Web: www.educare-secondary.sa</w:t>
      </w:r>
    </w:p>
    <w:p>
      <w:pPr>
        <w:pStyle w:val="BodyText"/>
      </w:pPr>
      <w:r>
        <w:t xml:space="preserve">VAT Reg. No.: 310123456700003 | CR: 1010456789 | ZATCA e-Invoice Compliant</w:t>
      </w:r>
    </w:p>
    <w:p>
      <w:pPr>
        <w:pStyle w:val="BodyText"/>
      </w:pPr>
      <w:r>
        <w:t xml:space="preserve">Thank you for choosing Educare Secondary Solutions for your Teacher Secondary staffing and educational services in Jeddah, Saudi Arabia. We are committed to excellence in secondary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Jeddah, Saudi Arabia</dc:title>
  <dc:creator/>
  <dc:language>en</dc:language>
  <cp:keywords/>
  <dcterms:created xsi:type="dcterms:W3CDTF">2026-10-10T04:23:57Z</dcterms:created>
  <dcterms:modified xsi:type="dcterms:W3CDTF">2026-10-10T04:23:57Z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