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invoice"/>
    <w:p>
      <w:pPr>
        <w:pStyle w:val="Heading1"/>
      </w:pPr>
      <w:r>
        <w:t xml:space="preserve">INVOICE</w:t>
      </w:r>
    </w:p>
    <w:p>
      <w:pPr>
        <w:pStyle w:val="FirstParagraph"/>
      </w:pPr>
      <w:r>
        <w:t xml:space="preserve">Teacher Secondary Educational Services – Saudi Arabia Riyadh</w:t>
      </w:r>
    </w:p>
    <w:p>
      <w:pPr>
        <w:pStyle w:val="BodyText"/>
      </w:pPr>
      <w:r>
        <w:t xml:space="preserve">OFFICIAL TAX INVOICE</w:t>
      </w:r>
    </w:p>
    <w:bookmarkEnd w:id="20"/>
    <w:bookmarkStart w:id="21" w:name="riyadh-secondary-education-services-co."/>
    <w:p>
      <w:pPr>
        <w:pStyle w:val="Heading3"/>
      </w:pPr>
      <w:r>
        <w:t xml:space="preserve">Riyadh Secondary Education Services Co.</w:t>
      </w:r>
    </w:p>
    <w:p>
      <w:pPr>
        <w:pStyle w:val="FirstParagraph"/>
      </w:pPr>
      <w:r>
        <w:t xml:space="preserve">Al Olaya District, Riyadh 13332</w:t>
      </w:r>
    </w:p>
    <w:p>
      <w:pPr>
        <w:pStyle w:val="BodyText"/>
      </w:pPr>
      <w:r>
        <w:t xml:space="preserve">Saudi Arabia</w:t>
      </w:r>
    </w:p>
    <w:p>
      <w:pPr>
        <w:pStyle w:val="BodyText"/>
      </w:pPr>
      <w:r>
        <w:t xml:space="preserve">VAT Registration No.: 310123456700003</w:t>
      </w:r>
    </w:p>
    <w:p>
      <w:pPr>
        <w:pStyle w:val="BodyText"/>
      </w:pPr>
      <w:r>
        <w:t xml:space="preserve">CR No.: 1010456789</w:t>
      </w:r>
    </w:p>
    <w:p>
      <w:pPr>
        <w:pStyle w:val="BodyText"/>
      </w:pPr>
      <w:r>
        <w:t xml:space="preserve">Tel: +966 11 456 7890</w:t>
      </w:r>
    </w:p>
    <w:p>
      <w:pPr>
        <w:pStyle w:val="BodyText"/>
      </w:pPr>
      <w:r>
        <w:t xml:space="preserve">Email: billing@rses-riyadh.sa</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INV-RYD-2025-00487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ed-to"/>
    <w:p>
      <w:pPr>
        <w:pStyle w:val="Heading4"/>
      </w:pPr>
      <w:r>
        <w:t xml:space="preserve">Billed To</w:t>
      </w:r>
    </w:p>
    <w:p>
      <w:pPr>
        <w:pStyle w:val="FirstParagraph"/>
      </w:pPr>
      <w:r>
        <w:rPr>
          <w:bCs/>
          <w:b/>
        </w:rPr>
        <w:t xml:space="preserve">Al Noor Secondary School</w:t>
      </w:r>
    </w:p>
    <w:p>
      <w:pPr>
        <w:pStyle w:val="BodyText"/>
      </w:pPr>
      <w:r>
        <w:t xml:space="preserve">King Fahd Road, Al Malqa District</w:t>
      </w:r>
    </w:p>
    <w:p>
      <w:pPr>
        <w:pStyle w:val="BodyText"/>
      </w:pPr>
      <w:r>
        <w:t xml:space="preserve">Riyadh 13321, Saudi Arabia</w:t>
      </w:r>
    </w:p>
    <w:p>
      <w:pPr>
        <w:pStyle w:val="BodyText"/>
      </w:pPr>
      <w:r>
        <w:t xml:space="preserve">Attn: Dr. Khalid Al-Rashid, Principal</w:t>
      </w:r>
    </w:p>
    <w:p>
      <w:pPr>
        <w:pStyle w:val="BodyText"/>
      </w:pPr>
      <w:r>
        <w:t xml:space="preserve">VAT No.: 310987654300003</w:t>
      </w:r>
    </w:p>
    <w:bookmarkEnd w:id="23"/>
    <w:bookmarkStart w:id="24" w:name="service-category"/>
    <w:p>
      <w:pPr>
        <w:pStyle w:val="Heading4"/>
      </w:pPr>
      <w:r>
        <w:t xml:space="preserve">Service Category</w:t>
      </w:r>
    </w:p>
    <w:p>
      <w:pPr>
        <w:pStyle w:val="FirstParagraph"/>
      </w:pPr>
      <w:r>
        <w:rPr>
          <w:bCs/>
          <w:b/>
        </w:rPr>
        <w:t xml:space="preserve">Teacher Secondary</w:t>
      </w:r>
    </w:p>
    <w:p>
      <w:pPr>
        <w:pStyle w:val="BodyText"/>
      </w:pPr>
      <w:r>
        <w:t xml:space="preserve">Academic Year 2024–2025</w:t>
      </w:r>
    </w:p>
    <w:p>
      <w:pPr>
        <w:pStyle w:val="BodyText"/>
      </w:pPr>
      <w:r>
        <w:t xml:space="preserve">Subject: Mathematics &amp; Physics</w:t>
      </w:r>
    </w:p>
    <w:p>
      <w:pPr>
        <w:pStyle w:val="BodyText"/>
      </w:pPr>
      <w:r>
        <w:t xml:space="preserve">Grade Level: Secondary (9–12)</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Teacher Secondary – Mathematics Instruction (Grades 9–12), including curriculum delivery, lesson planning, and student assessment for the full academic term in Saudi Arabia Riyadh</w:t>
            </w:r>
          </w:p>
        </w:tc>
        <w:tc>
          <w:tcPr/>
          <w:p>
            <w:pPr>
              <w:pStyle w:val="Compact"/>
              <w:jc w:val="left"/>
            </w:pPr>
            <w:r>
              <w:t xml:space="preserve">TSEC-MATH-001</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Teacher Secondary – Physics Laboratory Supervision and Practical Sessions, aligned with the Saudi Ministry of Education secondary curriculum standards</w:t>
            </w:r>
          </w:p>
        </w:tc>
        <w:tc>
          <w:tcPr/>
          <w:p>
            <w:pPr>
              <w:pStyle w:val="Compact"/>
              <w:jc w:val="left"/>
            </w:pPr>
            <w:r>
              <w:t xml:space="preserve">TSEC-PHY-002</w:t>
            </w:r>
          </w:p>
        </w:tc>
        <w:tc>
          <w:tcPr/>
          <w:p>
            <w:pPr>
              <w:pStyle w:val="Compact"/>
              <w:jc w:val="left"/>
            </w:pPr>
            <w:r>
              <w:t xml:space="preserve">48 hrs</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3</w:t>
            </w:r>
          </w:p>
        </w:tc>
        <w:tc>
          <w:tcPr/>
          <w:p>
            <w:pPr>
              <w:pStyle w:val="Compact"/>
              <w:jc w:val="left"/>
            </w:pPr>
            <w:r>
              <w:t xml:space="preserve">Teacher Secondary – Standardized Examination Preparation and Mock Testing Services for the National Secondary Achievement Test (Tahsili) in Riyadh</w:t>
            </w:r>
          </w:p>
        </w:tc>
        <w:tc>
          <w:tcPr/>
          <w:p>
            <w:pPr>
              <w:pStyle w:val="Compact"/>
              <w:jc w:val="left"/>
            </w:pPr>
            <w:r>
              <w:t xml:space="preserve">TSEC-EXAM-003</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Teacher Secondary – Professional Development and CPD Training Hours (Saudi National Qualifications Framework compliance)</w:t>
            </w:r>
          </w:p>
        </w:tc>
        <w:tc>
          <w:tcPr/>
          <w:p>
            <w:pPr>
              <w:pStyle w:val="Compact"/>
              <w:jc w:val="left"/>
            </w:pPr>
            <w:r>
              <w:t xml:space="preserve">TSEC-CPD-004</w:t>
            </w:r>
          </w:p>
        </w:tc>
        <w:tc>
          <w:tcPr/>
          <w:p>
            <w:pPr>
              <w:pStyle w:val="Compact"/>
              <w:jc w:val="left"/>
            </w:pPr>
            <w:r>
              <w:t xml:space="preserve">16 hrs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Teacher Secondary – Parent-Teacher Conference Facilitation and Student Progress Reporting (Term 3, Saudi Arabia Riyadh academic calendar)</w:t>
            </w:r>
          </w:p>
        </w:tc>
        <w:tc>
          <w:tcPr/>
          <w:p>
            <w:pPr>
              <w:pStyle w:val="Compact"/>
              <w:jc w:val="left"/>
            </w:pPr>
            <w:r>
              <w:t xml:space="preserve">TSEC-PTC-005</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Teacher Secondary – Extracurricular Science Club Mentorship and Competition Coaching (Riyadh Regional Secondary Science Olympiad)</w:t>
            </w:r>
          </w:p>
        </w:tc>
        <w:tc>
          <w:tcPr/>
          <w:p>
            <w:pPr>
              <w:pStyle w:val="Compact"/>
              <w:jc w:val="left"/>
            </w:pPr>
            <w:r>
              <w:t xml:space="preserve">TSEC-EXTRA-006</w:t>
            </w:r>
          </w:p>
        </w:tc>
        <w:tc>
          <w:tcPr/>
          <w:p>
            <w:pPr>
              <w:pStyle w:val="Compact"/>
              <w:jc w:val="left"/>
            </w:pPr>
            <w:r>
              <w:t xml:space="preserve">24 hrs</w:t>
            </w:r>
          </w:p>
        </w:tc>
        <w:tc>
          <w:tcPr/>
          <w:p>
            <w:pPr>
              <w:pStyle w:val="Compact"/>
              <w:jc w:val="left"/>
            </w:pPr>
            <w:r>
              <w:t xml:space="preserve">175.00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45,180.00 SAR</w:t>
            </w:r>
          </w:p>
        </w:tc>
      </w:tr>
      <w:tr>
        <w:tc>
          <w:tcPr/>
          <w:p>
            <w:pPr>
              <w:pStyle w:val="Compact"/>
              <w:jc w:val="left"/>
            </w:pPr>
            <w:r>
              <w:t xml:space="preserve">VAT @ 15% (Saudi Arabia)</w:t>
            </w:r>
          </w:p>
        </w:tc>
        <w:tc>
          <w:tcPr/>
          <w:p>
            <w:pPr>
              <w:pStyle w:val="Compact"/>
              <w:jc w:val="left"/>
            </w:pPr>
            <w:r>
              <w:t xml:space="preserve">6,777.00 SAR</w:t>
            </w:r>
          </w:p>
        </w:tc>
      </w:tr>
      <w:tr>
        <w:tc>
          <w:tcPr/>
          <w:p>
            <w:pPr>
              <w:pStyle w:val="Compact"/>
              <w:jc w:val="left"/>
            </w:pPr>
            <w:r>
              <w:t xml:space="preserve">Discount (Early Payment – 2%)</w:t>
            </w:r>
          </w:p>
        </w:tc>
        <w:tc>
          <w:tcPr/>
          <w:p>
            <w:pPr>
              <w:pStyle w:val="Compact"/>
              <w:jc w:val="left"/>
            </w:pPr>
            <w:r>
              <w:t xml:space="preserve">-903.60 SAR</w:t>
            </w:r>
          </w:p>
        </w:tc>
      </w:tr>
      <w:tr>
        <w:tc>
          <w:tcPr/>
          <w:p>
            <w:pPr>
              <w:pStyle w:val="Compact"/>
              <w:jc w:val="left"/>
            </w:pPr>
            <w:r>
              <w:t xml:space="preserve">Grand Total Due</w:t>
            </w:r>
          </w:p>
        </w:tc>
        <w:tc>
          <w:tcPr/>
          <w:p>
            <w:pPr>
              <w:pStyle w:val="Compact"/>
              <w:jc w:val="left"/>
            </w:pPr>
            <w:r>
              <w:t xml:space="preserve">51,053.40 SAR</w:t>
            </w:r>
          </w:p>
        </w:tc>
      </w:tr>
    </w:tbl>
    <w:bookmarkStart w:id="25" w:name="important-notes-regarding-this-invoice"/>
    <w:p>
      <w:pPr>
        <w:pStyle w:val="Heading4"/>
      </w:pPr>
      <w:r>
        <w:t xml:space="preserve">Important Notes Regarding This Invoice</w:t>
      </w:r>
    </w:p>
    <w:p>
      <w:pPr>
        <w:pStyle w:val="FirstParagraph"/>
      </w:pPr>
      <w:r>
        <w:t xml:space="preserve">This Invoice pertains exclusively to Teacher Secondary services rendered during the third term of the 2024–2025 academic year at Al Noor Secondary School, located in the Al Malqa District of Riyadh, Saudi Arabia. All instructional hours have been verified against the school's official attendance and scheduling records as approved by the Riyadh Education Office.</w:t>
      </w:r>
    </w:p>
    <w:p>
      <w:pPr>
        <w:pStyle w:val="BodyText"/>
      </w:pPr>
      <w:r>
        <w:t xml:space="preserve">The Teacher Secondary professional listed on this Invoice holds a valid Saudi Ministry of Education teaching license (License No. TCH-2024-78451) and is registered under the National Professional Qualifications Framework for Secondary Education. All services were delivered in compliance with the Saudi Vision 2030 educational transformation guidelines and the updated secondary school curriculum standards effective from the 2024 academic year.</w:t>
      </w:r>
    </w:p>
    <w:p>
      <w:pPr>
        <w:pStyle w:val="BodyText"/>
      </w:pPr>
      <w:r>
        <w:t xml:space="preserve">Payment for this Invoice is to be made via bank transfer to the account details below. Please reference Invoice number INV-RYD-2025-00487 in your payment remittance. Late payments beyond the 30 June 2025 due date will incur a penalty of 1.5% per month as stipulated under Saudi commercial law.</w:t>
      </w:r>
    </w:p>
    <w:bookmarkEnd w:id="25"/>
    <w:bookmarkStart w:id="26" w:name="payment-terms"/>
    <w:p>
      <w:pPr>
        <w:pStyle w:val="Heading4"/>
      </w:pPr>
      <w:r>
        <w:t xml:space="preserve">Payment &amp; Terms</w:t>
      </w:r>
    </w:p>
    <w:p>
      <w:pPr>
        <w:pStyle w:val="FirstParagraph"/>
      </w:pPr>
      <w:r>
        <w:rPr>
          <w:bCs/>
          <w:b/>
        </w:rPr>
        <w:t xml:space="preserve">Bank:</w:t>
      </w:r>
      <w:r>
        <w:t xml:space="preserve"> </w:t>
      </w:r>
      <w:r>
        <w:t xml:space="preserve">Saudi National Bank (SNB)  | </w:t>
      </w:r>
      <w:r>
        <w:t xml:space="preserve"> </w:t>
      </w:r>
      <w:r>
        <w:rPr>
          <w:bCs/>
          <w:b/>
        </w:rPr>
        <w:t xml:space="preserve">IBAN:</w:t>
      </w:r>
      <w:r>
        <w:t xml:space="preserve"> </w:t>
      </w:r>
      <w:r>
        <w:t xml:space="preserve">SA03 8000 0000 6080 1016 7519  | </w:t>
      </w:r>
      <w:r>
        <w:t xml:space="preserve"> </w:t>
      </w:r>
      <w:r>
        <w:rPr>
          <w:bCs/>
          <w:b/>
        </w:rPr>
        <w:t xml:space="preserve">SWIFT:</w:t>
      </w:r>
      <w:r>
        <w:t xml:space="preserve"> </w:t>
      </w:r>
      <w:r>
        <w:t xml:space="preserve">SNBLSARI</w:t>
      </w:r>
    </w:p>
    <w:p>
      <w:pPr>
        <w:pStyle w:val="BodyText"/>
      </w:pPr>
      <w:r>
        <w:rPr>
          <w:bCs/>
          <w:b/>
        </w:rPr>
        <w:t xml:space="preserve">Account Name:</w:t>
      </w:r>
      <w:r>
        <w:t xml:space="preserve"> </w:t>
      </w:r>
      <w:r>
        <w:t xml:space="preserve">Riyadh Secondary Education Services Co.</w:t>
      </w:r>
    </w:p>
    <w:p>
      <w:pPr>
        <w:pStyle w:val="BodyText"/>
      </w:pPr>
      <w:r>
        <w:t xml:space="preserve">This Invoice is valid for 90 days from the issue date. The Teacher Secondary services described herein are non-refundable once instructional hours have been commenced. Any disputes regarding the scope of Teacher Secondary services must be raised in writing within 14 business days of the Invoice issue date. This document constitutes a legally binding financial record under the Saudi Arabian Commercial Transactions Law and the Zakat, Tax and Customs Authority (ZATCA) e-invoicing regulations. All Teacher Secondary service delivery in Saudi Arabia Riyadh is subject to the terms of the master service agreement (Contract No. MSA-RYD-2024-0112) signed between both parties on 1 September 2024.</w:t>
      </w:r>
    </w:p>
    <w:bookmarkEnd w:id="26"/>
    <w:p>
      <w:pPr>
        <w:pStyle w:val="BodyText"/>
      </w:pPr>
      <w:r>
        <w:t xml:space="preserve">Thank you for your business. This Invoice was generated electronically in compliance with ZATCA e-invoicing requirements for Saudi Arabia Riyadh.</w:t>
      </w:r>
    </w:p>
    <w:p>
      <w:pPr>
        <w:pStyle w:val="BodyText"/>
      </w:pPr>
      <w:r>
        <w:t xml:space="preserve">Riyadh Secondary Education Services Co. © 2025 | All Rights Reserved | Riyadh, Saudi Arabia</w:t>
      </w:r>
    </w:p>
    <w:p>
      <w:pPr>
        <w:pStyle w:val="BodyText"/>
      </w:pPr>
      <w:r>
        <w:t xml:space="preserve">For queries regarding this Invoice or Teacher Secondary service delivery, please contact billing@rses-riyadh.sa or call +966 11 456 7890 (Mon–Fri, 8:00 AM – 4:00 PM 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Saudi Arabia Riyadh</dc:title>
  <dc:creator/>
  <dc:language>en</dc:language>
  <cp:keywords/>
  <dcterms:created xsi:type="dcterms:W3CDTF">2026-10-10T03:44:26Z</dcterms:created>
  <dcterms:modified xsi:type="dcterms:W3CDTF">2026-10-10T03:44:26Z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