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Valencia,</w:t>
      </w:r>
      <w:r>
        <w:t xml:space="preserve"> </w:t>
      </w:r>
      <w:r>
        <w:t xml:space="preserve">Spain</w:t>
      </w:r>
    </w:p>
    <w:bookmarkStart w:id="20" w:name="invoice"/>
    <w:p>
      <w:pPr>
        <w:pStyle w:val="Heading1"/>
      </w:pPr>
      <w:r>
        <w:t xml:space="preserve">INVOICE</w:t>
      </w:r>
    </w:p>
    <w:p>
      <w:pPr>
        <w:pStyle w:val="FirstParagraph"/>
      </w:pPr>
      <w:r>
        <w:t xml:space="preserve">Teacher Secondary Professional Services — Valencia, Spain</w:t>
      </w:r>
    </w:p>
    <w:p>
      <w:pPr>
        <w:pStyle w:val="BodyText"/>
      </w:pPr>
      <w:r>
        <w:t xml:space="preserve">OFFICIAL TAX DOCUMENT</w:t>
      </w:r>
    </w:p>
    <w:bookmarkEnd w:id="20"/>
    <w:bookmarkStart w:id="21" w:name="invoice-no.-inv-2025-val-0047"/>
    <w:p>
      <w:pPr>
        <w:pStyle w:val="Heading3"/>
      </w:pPr>
      <w:r>
        <w:t xml:space="preserve">Invoice No. INV-2025-VAL-0047</w:t>
      </w:r>
    </w:p>
    <w:p>
      <w:pPr>
        <w:pStyle w:val="FirstParagraph"/>
      </w:pPr>
      <w:r>
        <w:t xml:space="preserve">Issue Date: 15 June 2025</w:t>
      </w:r>
    </w:p>
    <w:p>
      <w:pPr>
        <w:pStyle w:val="BodyText"/>
      </w:pPr>
      <w:r>
        <w:t xml:space="preserve">Due Date: 15 July 2025</w:t>
      </w:r>
    </w:p>
    <w:p>
      <w:pPr>
        <w:pStyle w:val="BodyText"/>
      </w:pPr>
      <w:r>
        <w:t xml:space="preserve">Period: January 2025 – June 2025</w:t>
      </w:r>
    </w:p>
    <w:bookmarkEnd w:id="21"/>
    <w:bookmarkStart w:id="22" w:name="issued-by-teacher-secondary"/>
    <w:p>
      <w:pPr>
        <w:pStyle w:val="Heading4"/>
      </w:pPr>
      <w:r>
        <w:t xml:space="preserve">Issued By (Teacher Secondary)</w:t>
      </w:r>
    </w:p>
    <w:p>
      <w:pPr>
        <w:pStyle w:val="FirstParagraph"/>
      </w:pPr>
      <w:r>
        <w:rPr>
          <w:bCs/>
          <w:b/>
        </w:rPr>
        <w:t xml:space="preserve">María del Carmen Sánchez López</w:t>
      </w:r>
    </w:p>
    <w:p>
      <w:pPr>
        <w:pStyle w:val="BodyText"/>
      </w:pPr>
      <w:r>
        <w:t xml:space="preserve">Teacher Secondary — Mathematics &amp; Physics</w:t>
      </w:r>
    </w:p>
    <w:p>
      <w:pPr>
        <w:pStyle w:val="BodyText"/>
      </w:pPr>
      <w:r>
        <w:t xml:space="preserve">Calle de Colón, 42, 3ºB</w:t>
      </w:r>
    </w:p>
    <w:p>
      <w:pPr>
        <w:pStyle w:val="BodyText"/>
      </w:pPr>
      <w:r>
        <w:t xml:space="preserve">46004 Valencia, Comunitat Valenciana, Spain</w:t>
      </w:r>
    </w:p>
    <w:p>
      <w:pPr>
        <w:pStyle w:val="BodyText"/>
      </w:pPr>
      <w:r>
        <w:t xml:space="preserve">NIF: 28475613K</w:t>
      </w:r>
    </w:p>
    <w:p>
      <w:pPr>
        <w:pStyle w:val="BodyText"/>
      </w:pPr>
      <w:r>
        <w:t xml:space="preserve">Email: mcsanchez.lopez@eduvalencia.es</w:t>
      </w:r>
    </w:p>
    <w:p>
      <w:pPr>
        <w:pStyle w:val="BodyText"/>
      </w:pPr>
      <w:r>
        <w:t xml:space="preserve">Phone: +34 963 554 218</w:t>
      </w:r>
    </w:p>
    <w:bookmarkEnd w:id="22"/>
    <w:bookmarkStart w:id="23" w:name="billed-to-institution"/>
    <w:p>
      <w:pPr>
        <w:pStyle w:val="Heading4"/>
      </w:pPr>
      <w:r>
        <w:t xml:space="preserve">Billed To (Institution)</w:t>
      </w:r>
    </w:p>
    <w:p>
      <w:pPr>
        <w:pStyle w:val="FirstParagraph"/>
      </w:pPr>
      <w:r>
        <w:rPr>
          <w:bCs/>
          <w:b/>
        </w:rPr>
        <w:t xml:space="preserve">IES Ramón y Cajal</w:t>
      </w:r>
    </w:p>
    <w:p>
      <w:pPr>
        <w:pStyle w:val="BodyText"/>
      </w:pPr>
      <w:r>
        <w:t xml:space="preserve">Secondary Education Centre</w:t>
      </w:r>
    </w:p>
    <w:p>
      <w:pPr>
        <w:pStyle w:val="BodyText"/>
      </w:pPr>
      <w:r>
        <w:t xml:space="preserve">Av. de la Constitución, 18</w:t>
      </w:r>
    </w:p>
    <w:p>
      <w:pPr>
        <w:pStyle w:val="BodyText"/>
      </w:pPr>
      <w:r>
        <w:t xml:space="preserve">46008 Valencia, Comunitat Valenciana, Spain</w:t>
      </w:r>
    </w:p>
    <w:p>
      <w:pPr>
        <w:pStyle w:val="BodyText"/>
      </w:pPr>
      <w:r>
        <w:t xml:space="preserve">NIF: B46001234</w:t>
      </w:r>
    </w:p>
    <w:p>
      <w:pPr>
        <w:pStyle w:val="BodyText"/>
      </w:pPr>
      <w:r>
        <w:t xml:space="preserve">Department: Secondary Education — STEM Division</w:t>
      </w:r>
    </w:p>
    <w:p>
      <w:pPr>
        <w:pStyle w:val="BodyText"/>
      </w:pPr>
      <w:r>
        <w:t xml:space="preserve">Contact: Directoría Académica</w:t>
      </w:r>
    </w:p>
    <w:p>
      <w:pPr>
        <w:pStyle w:val="BodyText"/>
      </w:pPr>
      <w:r>
        <w:t xml:space="preserve">Email: administracion@iesramonycaval.es</w:t>
      </w:r>
    </w:p>
    <w:bookmarkEnd w:id="23"/>
    <w:p>
      <w:pPr>
        <w:pStyle w:val="BodyText"/>
      </w:pPr>
      <w:r>
        <w:t xml:space="preserve">Invoice Reference</w:t>
      </w:r>
    </w:p>
    <w:p>
      <w:pPr>
        <w:pStyle w:val="BodyText"/>
      </w:pPr>
      <w:r>
        <w:t xml:space="preserve">INV-2025-VAL-0047</w:t>
      </w:r>
    </w:p>
    <w:p>
      <w:pPr>
        <w:pStyle w:val="BodyText"/>
      </w:pPr>
      <w:r>
        <w:t xml:space="preserve">Service Category</w:t>
      </w:r>
    </w:p>
    <w:p>
      <w:pPr>
        <w:pStyle w:val="BodyText"/>
      </w:pPr>
      <w:r>
        <w:t xml:space="preserve">Teacher Secondary — Academic Instruction</w:t>
      </w:r>
    </w:p>
    <w:p>
      <w:pPr>
        <w:pStyle w:val="BodyText"/>
      </w:pPr>
      <w:r>
        <w:t xml:space="preserve">Jurisdiction</w:t>
      </w:r>
    </w:p>
    <w:p>
      <w:pPr>
        <w:pStyle w:val="BodyText"/>
      </w:pPr>
      <w:r>
        <w:t xml:space="preserve">Spain — Valencia (Comunitat Valenciana)</w:t>
      </w:r>
    </w:p>
    <w:p>
      <w:pPr>
        <w:pStyle w:val="BodyText"/>
      </w:pPr>
      <w:r>
        <w:t xml:space="preserve">Currency</w:t>
      </w:r>
    </w:p>
    <w:p>
      <w:pPr>
        <w:pStyle w:val="BodyText"/>
      </w:pPr>
      <w:r>
        <w:t xml:space="preserve">Euro (EUR) — €</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Secondary Services</w:t>
            </w:r>
          </w:p>
        </w:tc>
        <w:tc>
          <w:tcPr/>
          <w:p>
            <w:pPr>
              <w:pStyle w:val="Compact"/>
              <w:jc w:val="left"/>
            </w:pPr>
            <w:r>
              <w:t xml:space="preserve">Subject / Level</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Teacher Secondary classroom instruction — Mathematics, 1º ESO (Year 1 Secondary)</w:t>
            </w:r>
          </w:p>
        </w:tc>
        <w:tc>
          <w:tcPr/>
          <w:p>
            <w:pPr>
              <w:pStyle w:val="Compact"/>
              <w:jc w:val="left"/>
            </w:pPr>
            <w:r>
              <w:t xml:space="preserve">Mathematics / 1º ESO</w:t>
            </w:r>
          </w:p>
        </w:tc>
        <w:tc>
          <w:tcPr/>
          <w:p>
            <w:pPr>
              <w:pStyle w:val="Compact"/>
              <w:jc w:val="left"/>
            </w:pPr>
            <w:r>
              <w:t xml:space="preserve">120</w:t>
            </w:r>
          </w:p>
        </w:tc>
        <w:tc>
          <w:tcPr/>
          <w:p>
            <w:pPr>
              <w:pStyle w:val="Compact"/>
              <w:jc w:val="left"/>
            </w:pPr>
            <w:r>
              <w:t xml:space="preserve">28.50</w:t>
            </w:r>
          </w:p>
        </w:tc>
        <w:tc>
          <w:tcPr/>
          <w:p>
            <w:pPr>
              <w:pStyle w:val="Compact"/>
              <w:jc w:val="left"/>
            </w:pPr>
            <w:r>
              <w:t xml:space="preserve">3,420.00</w:t>
            </w:r>
          </w:p>
        </w:tc>
      </w:tr>
      <w:tr>
        <w:tc>
          <w:tcPr/>
          <w:p>
            <w:pPr>
              <w:pStyle w:val="Compact"/>
              <w:jc w:val="left"/>
            </w:pPr>
            <w:r>
              <w:t xml:space="preserve">2</w:t>
            </w:r>
          </w:p>
        </w:tc>
        <w:tc>
          <w:tcPr/>
          <w:p>
            <w:pPr>
              <w:pStyle w:val="Compact"/>
              <w:jc w:val="left"/>
            </w:pPr>
            <w:r>
              <w:t xml:space="preserve">Teacher Secondary classroom instruction — Mathematics, 3º ESO (Year 3 Secondary)</w:t>
            </w:r>
          </w:p>
        </w:tc>
        <w:tc>
          <w:tcPr/>
          <w:p>
            <w:pPr>
              <w:pStyle w:val="Compact"/>
              <w:jc w:val="left"/>
            </w:pPr>
            <w:r>
              <w:t xml:space="preserve">Mathematics / 3º ESO</w:t>
            </w:r>
          </w:p>
        </w:tc>
        <w:tc>
          <w:tcPr/>
          <w:p>
            <w:pPr>
              <w:pStyle w:val="Compact"/>
              <w:jc w:val="left"/>
            </w:pPr>
            <w:r>
              <w:t xml:space="preserve">110</w:t>
            </w:r>
          </w:p>
        </w:tc>
        <w:tc>
          <w:tcPr/>
          <w:p>
            <w:pPr>
              <w:pStyle w:val="Compact"/>
              <w:jc w:val="left"/>
            </w:pPr>
            <w:r>
              <w:t xml:space="preserve">29.00</w:t>
            </w:r>
          </w:p>
        </w:tc>
        <w:tc>
          <w:tcPr/>
          <w:p>
            <w:pPr>
              <w:pStyle w:val="Compact"/>
              <w:jc w:val="left"/>
            </w:pPr>
            <w:r>
              <w:t xml:space="preserve">3,190.00</w:t>
            </w:r>
          </w:p>
        </w:tc>
      </w:tr>
      <w:tr>
        <w:tc>
          <w:tcPr/>
          <w:p>
            <w:pPr>
              <w:pStyle w:val="Compact"/>
              <w:jc w:val="left"/>
            </w:pPr>
            <w:r>
              <w:t xml:space="preserve">3</w:t>
            </w:r>
          </w:p>
        </w:tc>
        <w:tc>
          <w:tcPr/>
          <w:p>
            <w:pPr>
              <w:pStyle w:val="Compact"/>
              <w:jc w:val="left"/>
            </w:pPr>
            <w:r>
              <w:t xml:space="preserve">Teacher Secondary classroom instruction — Physics &amp; Chemistry, 4º ESO (Year 4 Secondary)</w:t>
            </w:r>
          </w:p>
        </w:tc>
        <w:tc>
          <w:tcPr/>
          <w:p>
            <w:pPr>
              <w:pStyle w:val="Compact"/>
              <w:jc w:val="left"/>
            </w:pPr>
            <w:r>
              <w:t xml:space="preserve">Physics &amp; Chem. / 4º ESO</w:t>
            </w:r>
          </w:p>
        </w:tc>
        <w:tc>
          <w:tcPr/>
          <w:p>
            <w:pPr>
              <w:pStyle w:val="Compact"/>
              <w:jc w:val="left"/>
            </w:pPr>
            <w:r>
              <w:t xml:space="preserve">95</w:t>
            </w:r>
          </w:p>
        </w:tc>
        <w:tc>
          <w:tcPr/>
          <w:p>
            <w:pPr>
              <w:pStyle w:val="Compact"/>
              <w:jc w:val="left"/>
            </w:pPr>
            <w:r>
              <w:t xml:space="preserve">30.00</w:t>
            </w:r>
          </w:p>
        </w:tc>
        <w:tc>
          <w:tcPr/>
          <w:p>
            <w:pPr>
              <w:pStyle w:val="Compact"/>
              <w:jc w:val="left"/>
            </w:pPr>
            <w:r>
              <w:t xml:space="preserve">2,850.00</w:t>
            </w:r>
          </w:p>
        </w:tc>
      </w:tr>
      <w:tr>
        <w:tc>
          <w:tcPr/>
          <w:p>
            <w:pPr>
              <w:pStyle w:val="Compact"/>
              <w:jc w:val="left"/>
            </w:pPr>
            <w:r>
              <w:t xml:space="preserve">4</w:t>
            </w:r>
          </w:p>
        </w:tc>
        <w:tc>
          <w:tcPr/>
          <w:p>
            <w:pPr>
              <w:pStyle w:val="Compact"/>
              <w:jc w:val="left"/>
            </w:pPr>
            <w:r>
              <w:t xml:space="preserve">Teacher Secondary tutoring sessions — individualised support for students at risk of exclusion (Valencia municipal programme)</w:t>
            </w:r>
          </w:p>
        </w:tc>
        <w:tc>
          <w:tcPr/>
          <w:p>
            <w:pPr>
              <w:pStyle w:val="Compact"/>
              <w:jc w:val="left"/>
            </w:pPr>
            <w:r>
              <w:t xml:space="preserve">Tutoring / All Secondary</w:t>
            </w:r>
          </w:p>
        </w:tc>
        <w:tc>
          <w:tcPr/>
          <w:p>
            <w:pPr>
              <w:pStyle w:val="Compact"/>
              <w:jc w:val="left"/>
            </w:pPr>
            <w:r>
              <w:t xml:space="preserve">40</w:t>
            </w:r>
          </w:p>
        </w:tc>
        <w:tc>
          <w:tcPr/>
          <w:p>
            <w:pPr>
              <w:pStyle w:val="Compact"/>
              <w:jc w:val="left"/>
            </w:pPr>
            <w:r>
              <w:t xml:space="preserve">35.00</w:t>
            </w:r>
          </w:p>
        </w:tc>
        <w:tc>
          <w:tcPr/>
          <w:p>
            <w:pPr>
              <w:pStyle w:val="Compact"/>
              <w:jc w:val="left"/>
            </w:pPr>
            <w:r>
              <w:t xml:space="preserve">1,400.00</w:t>
            </w:r>
          </w:p>
        </w:tc>
      </w:tr>
      <w:tr>
        <w:tc>
          <w:tcPr/>
          <w:p>
            <w:pPr>
              <w:pStyle w:val="Compact"/>
              <w:jc w:val="left"/>
            </w:pPr>
            <w:r>
              <w:t xml:space="preserve">5</w:t>
            </w:r>
          </w:p>
        </w:tc>
        <w:tc>
          <w:tcPr/>
          <w:p>
            <w:pPr>
              <w:pStyle w:val="Compact"/>
              <w:jc w:val="left"/>
            </w:pPr>
            <w:r>
              <w:t xml:space="preserve">Teacher Secondary examination design, grading, and evaluation reports — first and second trimester, academic year 2024/2025</w:t>
            </w:r>
          </w:p>
        </w:tc>
        <w:tc>
          <w:tcPr/>
          <w:p>
            <w:pPr>
              <w:pStyle w:val="Compact"/>
              <w:jc w:val="left"/>
            </w:pPr>
            <w:r>
              <w:t xml:space="preserve">Assessment / Secondary</w:t>
            </w:r>
          </w:p>
        </w:tc>
        <w:tc>
          <w:tcPr/>
          <w:p>
            <w:pPr>
              <w:pStyle w:val="Compact"/>
              <w:jc w:val="left"/>
            </w:pPr>
            <w:r>
              <w:t xml:space="preserve">60</w:t>
            </w:r>
          </w:p>
        </w:tc>
        <w:tc>
          <w:tcPr/>
          <w:p>
            <w:pPr>
              <w:pStyle w:val="Compact"/>
              <w:jc w:val="left"/>
            </w:pPr>
            <w:r>
              <w:t xml:space="preserve">22.00</w:t>
            </w:r>
          </w:p>
        </w:tc>
        <w:tc>
          <w:tcPr/>
          <w:p>
            <w:pPr>
              <w:pStyle w:val="Compact"/>
              <w:jc w:val="left"/>
            </w:pPr>
            <w:r>
              <w:t xml:space="preserve">1,320.00</w:t>
            </w:r>
          </w:p>
        </w:tc>
      </w:tr>
      <w:tr>
        <w:tc>
          <w:tcPr/>
          <w:p>
            <w:pPr>
              <w:pStyle w:val="Compact"/>
              <w:jc w:val="left"/>
            </w:pPr>
            <w:r>
              <w:t xml:space="preserve">6</w:t>
            </w:r>
          </w:p>
        </w:tc>
        <w:tc>
          <w:tcPr/>
          <w:p>
            <w:pPr>
              <w:pStyle w:val="Compact"/>
              <w:jc w:val="left"/>
            </w:pPr>
            <w:r>
              <w:t xml:space="preserve">Teacher Secondary participation in departmental meetings, curriculum planning, and coordination with the IES Ramón y Cajal academic board in Valencia</w:t>
            </w:r>
          </w:p>
        </w:tc>
        <w:tc>
          <w:tcPr/>
          <w:p>
            <w:pPr>
              <w:pStyle w:val="Compact"/>
              <w:jc w:val="left"/>
            </w:pPr>
            <w:r>
              <w:t xml:space="preserve">Coordination / Secondary</w:t>
            </w:r>
          </w:p>
        </w:tc>
        <w:tc>
          <w:tcPr/>
          <w:p>
            <w:pPr>
              <w:pStyle w:val="Compact"/>
              <w:jc w:val="left"/>
            </w:pPr>
            <w:r>
              <w:t xml:space="preserve">24</w:t>
            </w:r>
          </w:p>
        </w:tc>
        <w:tc>
          <w:tcPr/>
          <w:p>
            <w:pPr>
              <w:pStyle w:val="Compact"/>
              <w:jc w:val="left"/>
            </w:pPr>
            <w:r>
              <w:t xml:space="preserve">25.00</w:t>
            </w:r>
          </w:p>
        </w:tc>
        <w:tc>
          <w:tcPr/>
          <w:p>
            <w:pPr>
              <w:pStyle w:val="Compact"/>
              <w:jc w:val="left"/>
            </w:pPr>
            <w:r>
              <w:t xml:space="preserve">600.00</w:t>
            </w:r>
          </w:p>
        </w:tc>
      </w:tr>
      <w:tr>
        <w:tc>
          <w:tcPr/>
          <w:p>
            <w:pPr>
              <w:pStyle w:val="Compact"/>
              <w:jc w:val="left"/>
            </w:pPr>
            <w:r>
              <w:t xml:space="preserve">7</w:t>
            </w:r>
          </w:p>
        </w:tc>
        <w:tc>
          <w:tcPr/>
          <w:p>
            <w:pPr>
              <w:pStyle w:val="Compact"/>
              <w:jc w:val="left"/>
            </w:pPr>
            <w:r>
              <w:t xml:space="preserve">Teacher Secondary professional development — completion of mandatory in-service training (Formación del Profesorado) as required by the Generalitat Valenciana</w:t>
            </w:r>
          </w:p>
        </w:tc>
        <w:tc>
          <w:tcPr/>
          <w:p>
            <w:pPr>
              <w:pStyle w:val="Compact"/>
              <w:jc w:val="left"/>
            </w:pPr>
            <w:r>
              <w:t xml:space="preserve">Training / Secondary</w:t>
            </w:r>
          </w:p>
        </w:tc>
        <w:tc>
          <w:tcPr/>
          <w:p>
            <w:pPr>
              <w:pStyle w:val="Compact"/>
              <w:jc w:val="left"/>
            </w:pPr>
            <w:r>
              <w:t xml:space="preserve">16</w:t>
            </w:r>
          </w:p>
        </w:tc>
        <w:tc>
          <w:tcPr/>
          <w:p>
            <w:pPr>
              <w:pStyle w:val="Compact"/>
              <w:jc w:val="left"/>
            </w:pPr>
            <w:r>
              <w:t xml:space="preserve">20.00</w:t>
            </w:r>
          </w:p>
        </w:tc>
        <w:tc>
          <w:tcPr/>
          <w:p>
            <w:pPr>
              <w:pStyle w:val="Compact"/>
              <w:jc w:val="left"/>
            </w:pPr>
            <w:r>
              <w:t xml:space="preserve">320.00</w:t>
            </w:r>
          </w:p>
        </w:tc>
      </w:tr>
      <w:tr>
        <w:tc>
          <w:tcPr/>
          <w:p>
            <w:pPr>
              <w:pStyle w:val="Compact"/>
              <w:jc w:val="left"/>
            </w:pPr>
            <w:r>
              <w:t xml:space="preserve">8</w:t>
            </w:r>
          </w:p>
        </w:tc>
        <w:tc>
          <w:tcPr/>
          <w:p>
            <w:pPr>
              <w:pStyle w:val="Compact"/>
              <w:jc w:val="left"/>
            </w:pPr>
            <w:r>
              <w:t xml:space="preserve">Teacher Secondary preparation and delivery of the Baccalaureate (Bachillerato) entrance preparation workshops held at the Valencia municipal education centre</w:t>
            </w:r>
          </w:p>
        </w:tc>
        <w:tc>
          <w:tcPr/>
          <w:p>
            <w:pPr>
              <w:pStyle w:val="Compact"/>
              <w:jc w:val="left"/>
            </w:pPr>
            <w:r>
              <w:t xml:space="preserve">Prep Workshops / Secondary</w:t>
            </w:r>
          </w:p>
        </w:tc>
        <w:tc>
          <w:tcPr/>
          <w:p>
            <w:pPr>
              <w:pStyle w:val="Compact"/>
              <w:jc w:val="left"/>
            </w:pPr>
            <w:r>
              <w:t xml:space="preserve">20</w:t>
            </w:r>
          </w:p>
        </w:tc>
        <w:tc>
          <w:tcPr/>
          <w:p>
            <w:pPr>
              <w:pStyle w:val="Compact"/>
              <w:jc w:val="left"/>
            </w:pPr>
            <w:r>
              <w:t xml:space="preserve">32.00</w:t>
            </w:r>
          </w:p>
        </w:tc>
        <w:tc>
          <w:tcPr/>
          <w:p>
            <w:pPr>
              <w:pStyle w:val="Compact"/>
              <w:jc w:val="left"/>
            </w:pPr>
            <w:r>
              <w:t xml:space="preserve">640.00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(Teacher Secondary Services)</w:t>
            </w:r>
          </w:p>
        </w:tc>
        <w:tc>
          <w:tcPr/>
          <w:p>
            <w:pPr>
              <w:pStyle w:val="Compact"/>
              <w:jc w:val="left"/>
            </w:pPr>
            <w:r>
              <w:t xml:space="preserve">€ 13,740.00</w:t>
            </w:r>
          </w:p>
        </w:tc>
      </w:tr>
      <w:tr>
        <w:tc>
          <w:tcPr/>
          <w:p>
            <w:pPr>
              <w:pStyle w:val="Compact"/>
              <w:jc w:val="left"/>
            </w:pPr>
            <w:r>
              <w:t xml:space="preserve">Discount (Municipal Education Grant, Ajuntament de València)</w:t>
            </w:r>
          </w:p>
        </w:tc>
        <w:tc>
          <w:tcPr/>
          <w:p>
            <w:pPr>
              <w:pStyle w:val="Compact"/>
              <w:jc w:val="left"/>
            </w:pPr>
            <w:r>
              <w:t xml:space="preserve">− € 687.00</w:t>
            </w:r>
          </w:p>
        </w:tc>
      </w:tr>
      <w:tr>
        <w:tc>
          <w:tcPr/>
          <w:p>
            <w:pPr>
              <w:pStyle w:val="Compact"/>
              <w:jc w:val="left"/>
            </w:pPr>
            <w:r>
              <w:t xml:space="preserve">Net Amount</w:t>
            </w:r>
          </w:p>
        </w:tc>
        <w:tc>
          <w:tcPr/>
          <w:p>
            <w:pPr>
              <w:pStyle w:val="Compact"/>
              <w:jc w:val="left"/>
            </w:pPr>
            <w:r>
              <w:t xml:space="preserve">€ 13,053.00</w:t>
            </w:r>
          </w:p>
        </w:tc>
      </w:tr>
      <w:tr>
        <w:tc>
          <w:tcPr/>
          <w:p>
            <w:pPr>
              <w:pStyle w:val="Compact"/>
              <w:jc w:val="left"/>
            </w:pPr>
            <w:r>
              <w:t xml:space="preserve">IVA (VAT) — 21% (Spain, Comunitat Valenciana)</w:t>
            </w:r>
          </w:p>
        </w:tc>
        <w:tc>
          <w:tcPr/>
          <w:p>
            <w:pPr>
              <w:pStyle w:val="Compact"/>
              <w:jc w:val="left"/>
            </w:pPr>
            <w:r>
              <w:t xml:space="preserve">€ 2,741.13</w:t>
            </w:r>
          </w:p>
        </w:tc>
      </w:tr>
      <w:tr>
        <w:tc>
          <w:tcPr/>
          <w:p>
            <w:pPr>
              <w:pStyle w:val="Compact"/>
              <w:jc w:val="left"/>
            </w:pPr>
            <w:r>
              <w:t xml:space="preserve">TOTAL DUE (Spain — Valencia)</w:t>
            </w:r>
          </w:p>
        </w:tc>
        <w:tc>
          <w:tcPr/>
          <w:p>
            <w:pPr>
              <w:pStyle w:val="Compact"/>
              <w:jc w:val="left"/>
            </w:pPr>
            <w:r>
              <w:t xml:space="preserve">€ 15,794.13</w:t>
            </w:r>
          </w:p>
        </w:tc>
      </w:tr>
    </w:tbl>
    <w:bookmarkStart w:id="24" w:name="payment-instructions-spain-valencia"/>
    <w:p>
      <w:pPr>
        <w:pStyle w:val="Heading4"/>
      </w:pPr>
      <w:r>
        <w:t xml:space="preserve">Payment Instructions — Spain, Valencia</w:t>
      </w:r>
    </w:p>
    <w:p>
      <w:pPr>
        <w:pStyle w:val="FirstParagraph"/>
      </w:pPr>
      <w:r>
        <w:rPr>
          <w:bCs/>
          <w:b/>
        </w:rPr>
        <w:t xml:space="preserve">Bank:</w:t>
      </w:r>
      <w:r>
        <w:t xml:space="preserve"> </w:t>
      </w:r>
      <w:r>
        <w:t xml:space="preserve">CaixaBank, S.A. — Valencia Branch</w:t>
      </w:r>
    </w:p>
    <w:p>
      <w:pPr>
        <w:pStyle w:val="BodyText"/>
      </w:pPr>
      <w:r>
        <w:rPr>
          <w:bCs/>
          <w:b/>
        </w:rPr>
        <w:t xml:space="preserve">IBAN:</w:t>
      </w:r>
      <w:r>
        <w:t xml:space="preserve"> </w:t>
      </w:r>
      <w:r>
        <w:t xml:space="preserve">ES91 2100 0418 4502 0005 1324</w:t>
      </w:r>
    </w:p>
    <w:p>
      <w:pPr>
        <w:pStyle w:val="BodyText"/>
      </w:pPr>
      <w:r>
        <w:rPr>
          <w:bCs/>
          <w:b/>
        </w:rPr>
        <w:t xml:space="preserve">BIC/SWIFT:</w:t>
      </w:r>
      <w:r>
        <w:t xml:space="preserve"> </w:t>
      </w:r>
      <w:r>
        <w:t xml:space="preserve">CAIXESBBXXX</w:t>
      </w:r>
    </w:p>
    <w:p>
      <w:pPr>
        <w:pStyle w:val="BodyText"/>
      </w:pPr>
      <w:r>
        <w:rPr>
          <w:bCs/>
          <w:b/>
        </w:rPr>
        <w:t xml:space="preserve">Reference:</w:t>
      </w:r>
      <w:r>
        <w:t xml:space="preserve"> </w:t>
      </w:r>
      <w:r>
        <w:t xml:space="preserve">INV-2025-VAL-0047 / NIF 28475613K</w:t>
      </w:r>
    </w:p>
    <w:p>
      <w:pPr>
        <w:pStyle w:val="BodyText"/>
      </w:pPr>
      <w:r>
        <w:rPr>
          <w:bCs/>
          <w:b/>
        </w:rPr>
        <w:t xml:space="preserve">Payment Method:</w:t>
      </w:r>
      <w:r>
        <w:t xml:space="preserve"> </w:t>
      </w:r>
      <w:r>
        <w:t xml:space="preserve">Bank Transfer (Transferencia Bancaria) — Payment due within 30 calendar days from the issue date, in accordance with the General Administrative Procedure Law (Ley 39/2015) applicable in Spain.</w:t>
      </w:r>
    </w:p>
    <w:p>
      <w:pPr>
        <w:pStyle w:val="BodyText"/>
      </w:pPr>
      <w:r>
        <w:rPr>
          <w:bCs/>
          <w:b/>
        </w:rPr>
        <w:t xml:space="preserve">Penalty for Late Payment:</w:t>
      </w:r>
      <w:r>
        <w:t xml:space="preserve"> </w:t>
      </w:r>
      <w:r>
        <w:t xml:space="preserve">Statutory interest rate as set by the Spanish Ministry of Finance for the corresponding half-year period, applied in accordance with Article 26 of the Ley 39/2015.</w:t>
      </w:r>
    </w:p>
    <w:bookmarkEnd w:id="24"/>
    <w:bookmarkStart w:id="25" w:name="notes-legal-references"/>
    <w:p>
      <w:pPr>
        <w:pStyle w:val="Heading4"/>
      </w:pPr>
      <w:r>
        <w:t xml:space="preserve">Notes &amp; Legal References</w:t>
      </w:r>
    </w:p>
    <w:p>
      <w:pPr>
        <w:pStyle w:val="FirstParagraph"/>
      </w:pPr>
      <w:r>
        <w:t xml:space="preserve">This Invoice certifies the professional services rendered by the undersigned Teacher Secondary during the first and second trimesters of the 2024/2025 academic year at IES Ramón y Cajal, Valencia, Spain. All instructional hours, tutoring sessions, assessment activities, and coordination duties listed above were performed in compliance with the educational regulations established by the Generalitat Valenciana and the Spanish Ministry of Education, Culture and Sport.</w:t>
      </w:r>
    </w:p>
    <w:p>
      <w:pPr>
        <w:pStyle w:val="BodyText"/>
      </w:pPr>
      <w:r>
        <w:t xml:space="preserve">The Teacher Secondary services described in this Invoice are subject to the applicable Spanish labour and tax legislation. The IVA (Impuesto sobre el Valor Añadido) rate of 21% has been applied in accordance with the Spanish Tax Code (Código Fiscal) and the regulations in force in the Comunitat Valenciana, Valencia.</w:t>
      </w:r>
    </w:p>
    <w:p>
      <w:pPr>
        <w:pStyle w:val="BodyText"/>
      </w:pPr>
      <w:r>
        <w:t xml:space="preserve">This document constitutes a valid tax invoice (Factura) under Spanish law. A duplicate copy may be requested by contacting the issuing Teacher Secondary at the address listed above. The Ajuntament de València municipal education grant referenced in the discount line has been verified by the relevant department of the Valencia City Council.</w:t>
      </w:r>
    </w:p>
    <w:p>
      <w:pPr>
        <w:pStyle w:val="BodyText"/>
      </w:pPr>
      <w:r>
        <w:t xml:space="preserve">For any queries regarding this Invoice, please contact the issuing Teacher Secondary or the administrative office of IES Ramón y Cajal, Valencia, Spain. All correspondence should reference Invoice Number INV-2025-VAL-0047.</w:t>
      </w:r>
    </w:p>
    <w:bookmarkEnd w:id="25"/>
    <w:p>
      <w:pPr>
        <w:pStyle w:val="BodyText"/>
      </w:pPr>
      <w:r>
        <w:rPr>
          <w:bCs/>
          <w:b/>
        </w:rPr>
        <w:t xml:space="preserve">Teacher Secondary Professional Services Invoice</w:t>
      </w:r>
      <w:r>
        <w:t xml:space="preserve"> </w:t>
      </w:r>
      <w:r>
        <w:t xml:space="preserve">— Issued in Valencia, Comunitat Valenciana, Spain</w:t>
      </w:r>
    </w:p>
    <w:p>
      <w:pPr>
        <w:pStyle w:val="BodyText"/>
      </w:pPr>
      <w:r>
        <w:t xml:space="preserve">María del Carmen Sánchez López — NIF: 28475613K — Calle de Colón, 42, 3ºB, 46004 Valencia, Spain</w:t>
      </w:r>
    </w:p>
    <w:p>
      <w:pPr>
        <w:pStyle w:val="BodyText"/>
      </w:pPr>
      <w:r>
        <w:t xml:space="preserve">This Invoice was generated in accordance with the Spanish electronic invoicing regulations (Factura Electrónica) and the Generalitat Valenciana educational service provisions.</w:t>
      </w:r>
    </w:p>
    <w:p>
      <w:pPr>
        <w:pStyle w:val="BodyText"/>
      </w:pPr>
      <w:r>
        <w:t xml:space="preserve">© 2025 — All rights reserved. Document reference: INV-2025-VAL-0047. Jurisdiction: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Valencia, Spain</dc:title>
  <dc:creator/>
  <dc:language>en</dc:language>
  <cp:keywords/>
  <dcterms:created xsi:type="dcterms:W3CDTF">2026-10-10T03:11:28Z</dcterms:created>
  <dcterms:modified xsi:type="dcterms:W3CDTF">2026-10-10T03:11:28Z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