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Teacher Secondary Professional Services</w:t>
      </w:r>
    </w:p>
    <w:p>
      <w:pPr>
        <w:pStyle w:val="BodyText"/>
      </w:pPr>
      <w:r>
        <w:t xml:space="preserve">OFFICIAL INVOICE</w:t>
      </w:r>
    </w:p>
    <w:bookmarkStart w:id="20" w:name="invoice-details"/>
    <w:p>
      <w:pPr>
        <w:pStyle w:val="Heading3"/>
      </w:pPr>
      <w:r>
        <w:t xml:space="preserve">Invoice Details</w:t>
      </w:r>
    </w:p>
    <w:p>
      <w:pPr>
        <w:pStyle w:val="FirstParagraph"/>
      </w:pPr>
      <w:r>
        <w:rPr>
          <w:bCs/>
          <w:b/>
        </w:rPr>
        <w:t xml:space="preserve">Invoice No.:</w:t>
      </w:r>
      <w:r>
        <w:t xml:space="preserve"> </w:t>
      </w:r>
      <w:r>
        <w:t xml:space="preserve">TSB-2025-00472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Location:</w:t>
      </w:r>
      <w:r>
        <w:t xml:space="preserve"> </w:t>
      </w:r>
      <w:r>
        <w:t xml:space="preserve">Thailand Bangkok</w:t>
      </w:r>
    </w:p>
    <w:p>
      <w:pPr>
        <w:pStyle w:val="BodyText"/>
      </w:pPr>
      <w:r>
        <w:rPr>
          <w:bCs/>
          <w:b/>
        </w:rPr>
        <w:t xml:space="preserve">Currency:</w:t>
      </w:r>
      <w:r>
        <w:t xml:space="preserve"> </w:t>
      </w:r>
      <w:r>
        <w:t xml:space="preserve">Thai Baht (THB)</w:t>
      </w:r>
    </w:p>
    <w:bookmarkEnd w:id="20"/>
    <w:bookmarkStart w:id="21" w:name="issued-by-service-provider"/>
    <w:p>
      <w:pPr>
        <w:pStyle w:val="Heading4"/>
      </w:pPr>
      <w:r>
        <w:t xml:space="preserve">Issued By (Service Provider)</w:t>
      </w:r>
    </w:p>
    <w:p>
      <w:pPr>
        <w:pStyle w:val="FirstParagraph"/>
      </w:pPr>
      <w:r>
        <w:rPr>
          <w:bCs/>
          <w:b/>
        </w:rPr>
        <w:t xml:space="preserve">Khun Somsak Rattanakul</w:t>
      </w:r>
    </w:p>
    <w:p>
      <w:pPr>
        <w:pStyle w:val="BodyText"/>
      </w:pPr>
      <w:r>
        <w:t xml:space="preserve">Teacher Secondary – Mathematics &amp; Science Department</w:t>
      </w:r>
    </w:p>
    <w:p>
      <w:pPr>
        <w:pStyle w:val="BodyText"/>
      </w:pPr>
      <w:r>
        <w:t xml:space="preserve">Bangkok International Secondary Academy</w:t>
      </w:r>
    </w:p>
    <w:p>
      <w:pPr>
        <w:pStyle w:val="BodyText"/>
      </w:pPr>
      <w:r>
        <w:t xml:space="preserve">128 Sukhumvit Road, Khlong Toei</w:t>
      </w:r>
    </w:p>
    <w:p>
      <w:pPr>
        <w:pStyle w:val="BodyText"/>
      </w:pPr>
      <w:r>
        <w:t xml:space="preserve">Bangkok 10110, Thailand</w:t>
      </w:r>
    </w:p>
    <w:p>
      <w:pPr>
        <w:pStyle w:val="BodyText"/>
      </w:pPr>
      <w:r>
        <w:t xml:space="preserve">Tel: +66 2 254 8890</w:t>
      </w:r>
    </w:p>
    <w:p>
      <w:pPr>
        <w:pStyle w:val="BodyText"/>
      </w:pPr>
      <w:r>
        <w:t xml:space="preserve">Email: s.rattanakul@bisacademy.ac.th</w:t>
      </w:r>
    </w:p>
    <w:p>
      <w:pPr>
        <w:pStyle w:val="BodyText"/>
      </w:pPr>
      <w:r>
        <w:t xml:space="preserve">Tax ID: 0-123456789-01-5</w:t>
      </w:r>
    </w:p>
    <w:bookmarkEnd w:id="21"/>
    <w:bookmarkStart w:id="22" w:name="billed-to-client-employer"/>
    <w:p>
      <w:pPr>
        <w:pStyle w:val="Heading4"/>
      </w:pPr>
      <w:r>
        <w:t xml:space="preserve">Billed To (Client / Employer)</w:t>
      </w:r>
    </w:p>
    <w:p>
      <w:pPr>
        <w:pStyle w:val="FirstParagraph"/>
      </w:pPr>
      <w:r>
        <w:rPr>
          <w:bCs/>
          <w:b/>
        </w:rPr>
        <w:t xml:space="preserve">Bangkok Metropolitan Education Board</w:t>
      </w:r>
    </w:p>
    <w:p>
      <w:pPr>
        <w:pStyle w:val="BodyText"/>
      </w:pPr>
      <w:r>
        <w:t xml:space="preserve">Office of Secondary Education Services</w:t>
      </w:r>
    </w:p>
    <w:p>
      <w:pPr>
        <w:pStyle w:val="BodyText"/>
      </w:pPr>
      <w:r>
        <w:t xml:space="preserve">999 Rama IV Road, Bang Rak</w:t>
      </w:r>
    </w:p>
    <w:p>
      <w:pPr>
        <w:pStyle w:val="BodyText"/>
      </w:pPr>
      <w:r>
        <w:t xml:space="preserve">Bangkok 10500, Thailand</w:t>
      </w:r>
    </w:p>
    <w:p>
      <w:pPr>
        <w:pStyle w:val="BodyText"/>
      </w:pPr>
      <w:r>
        <w:t xml:space="preserve">Tel: +66 2 230 8800</w:t>
      </w:r>
    </w:p>
    <w:p>
      <w:pPr>
        <w:pStyle w:val="BodyText"/>
      </w:pPr>
      <w:r>
        <w:t xml:space="preserve">Email: finance@bmeb.go.th</w:t>
      </w:r>
    </w:p>
    <w:p>
      <w:pPr>
        <w:pStyle w:val="BodyText"/>
      </w:pPr>
      <w:r>
        <w:t xml:space="preserve">Tax ID: 0-105500000-01-2</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Description of Teacher Secondary Services</w:t>
            </w:r>
          </w:p>
        </w:tc>
        <w:tc>
          <w:tcPr/>
          <w:p>
            <w:pPr>
              <w:pStyle w:val="Compact"/>
              <w:jc w:val="left"/>
            </w:pPr>
            <w:r>
              <w:t xml:space="preserve">Period</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Teacher Secondary – Regular Classroom Instruction (Mathematics, Grades 10–12), 25 periods per week at Bangkok International Secondary Academy, Thailand Bangkok campus</w:t>
            </w:r>
          </w:p>
        </w:tc>
        <w:tc>
          <w:tcPr/>
          <w:p>
            <w:pPr>
              <w:pStyle w:val="Compact"/>
              <w:jc w:val="left"/>
            </w:pPr>
            <w:r>
              <w:t xml:space="preserve">May 2025</w:t>
            </w:r>
          </w:p>
        </w:tc>
        <w:tc>
          <w:tcPr/>
          <w:p>
            <w:pPr>
              <w:pStyle w:val="Compact"/>
              <w:jc w:val="left"/>
            </w:pPr>
            <w:r>
              <w:t xml:space="preserve">1,200.00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Teacher Secondary – Science Laboratory Supervision and Practical Examinations, including preparation of laboratory materials and safety compliance for secondary students in Thailand Bangkok</w:t>
            </w:r>
          </w:p>
        </w:tc>
        <w:tc>
          <w:tcPr/>
          <w:p>
            <w:pPr>
              <w:pStyle w:val="Compact"/>
              <w:jc w:val="left"/>
            </w:pPr>
            <w:r>
              <w:t xml:space="preserve">May 2025</w:t>
            </w:r>
          </w:p>
        </w:tc>
        <w:tc>
          <w:tcPr/>
          <w:p>
            <w:pPr>
              <w:pStyle w:val="Compact"/>
              <w:jc w:val="left"/>
            </w:pPr>
            <w:r>
              <w:t xml:space="preserve">850.00</w:t>
            </w:r>
          </w:p>
        </w:tc>
        <w:tc>
          <w:tcPr/>
          <w:p>
            <w:pPr>
              <w:pStyle w:val="Compact"/>
              <w:jc w:val="left"/>
            </w:pPr>
            <w:r>
              <w:t xml:space="preserve">68,000.00</w:t>
            </w:r>
          </w:p>
        </w:tc>
      </w:tr>
      <w:tr>
        <w:tc>
          <w:tcPr/>
          <w:p>
            <w:pPr>
              <w:pStyle w:val="Compact"/>
              <w:jc w:val="left"/>
            </w:pPr>
            <w:r>
              <w:t xml:space="preserve">03</w:t>
            </w:r>
          </w:p>
        </w:tc>
        <w:tc>
          <w:tcPr/>
          <w:p>
            <w:pPr>
              <w:pStyle w:val="Compact"/>
              <w:jc w:val="left"/>
            </w:pPr>
            <w:r>
              <w:t xml:space="preserve">Teacher Secondary – After-School Tutoring and Remedial Sessions for underperforming secondary students, conducted at the Thailand Bangkok branch center, 10 sessions total</w:t>
            </w:r>
          </w:p>
        </w:tc>
        <w:tc>
          <w:tcPr/>
          <w:p>
            <w:pPr>
              <w:pStyle w:val="Compact"/>
              <w:jc w:val="left"/>
            </w:pPr>
            <w:r>
              <w:t xml:space="preserve">May 2025</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Teacher Secondary – Curriculum Development and Assessment Design for the National Secondary Examination (O-NET) preparation, aligned with Thailand Bangkok educational standards</w:t>
            </w:r>
          </w:p>
        </w:tc>
        <w:tc>
          <w:tcPr/>
          <w:p>
            <w:pPr>
              <w:pStyle w:val="Compact"/>
              <w:jc w:val="left"/>
            </w:pPr>
            <w:r>
              <w:t xml:space="preserve">May 2025</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Teacher Secondary – Parent-Teacher Conference Facilitation and Student Progress Reporting, covering 120 secondary students across three classes in Thailand Bangkok</w:t>
            </w:r>
          </w:p>
        </w:tc>
        <w:tc>
          <w:tcPr/>
          <w:p>
            <w:pPr>
              <w:pStyle w:val="Compact"/>
              <w:jc w:val="left"/>
            </w:pPr>
            <w:r>
              <w:t xml:space="preserve">May 2025</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06</w:t>
            </w:r>
          </w:p>
        </w:tc>
        <w:tc>
          <w:tcPr/>
          <w:p>
            <w:pPr>
              <w:pStyle w:val="Compact"/>
              <w:jc w:val="left"/>
            </w:pPr>
            <w:r>
              <w:t xml:space="preserve">Teacher Secondary – Professional Development Workshop Delivery for fellow secondary educators, "Advanced Pedagogy for the Thai Secondary Classroom," held at the Bangkok Education Center</w:t>
            </w:r>
          </w:p>
        </w:tc>
        <w:tc>
          <w:tcPr/>
          <w:p>
            <w:pPr>
              <w:pStyle w:val="Compact"/>
              <w:jc w:val="left"/>
            </w:pPr>
            <w:r>
              <w:t xml:space="preserve">May 2025</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Teacher Secondary – Extracurricular Club Supervision (Mathematics Olympiad and Science Fair preparation), 8 sessions at the Thailand Bangkok campus</w:t>
            </w:r>
          </w:p>
        </w:tc>
        <w:tc>
          <w:tcPr/>
          <w:p>
            <w:pPr>
              <w:pStyle w:val="Compact"/>
              <w:jc w:val="left"/>
            </w:pPr>
            <w:r>
              <w:t xml:space="preserve">May 2025</w:t>
            </w:r>
          </w:p>
        </w:tc>
        <w:tc>
          <w:tcPr/>
          <w:p>
            <w:pPr>
              <w:pStyle w:val="Compact"/>
              <w:jc w:val="left"/>
            </w:pPr>
            <w:r>
              <w:t xml:space="preserve">700.00</w:t>
            </w:r>
          </w:p>
        </w:tc>
        <w:tc>
          <w:tcPr/>
          <w:p>
            <w:pPr>
              <w:pStyle w:val="Compact"/>
              <w:jc w:val="left"/>
            </w:pPr>
            <w:r>
              <w:t xml:space="preserve">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289,100.00</w:t>
            </w:r>
          </w:p>
        </w:tc>
      </w:tr>
      <w:tr>
        <w:tc>
          <w:tcPr/>
          <w:p>
            <w:pPr>
              <w:pStyle w:val="Compact"/>
              <w:jc w:val="left"/>
            </w:pPr>
            <w:r>
              <w:t xml:space="preserve">VAT (7% – Thailand Standard Rate)</w:t>
            </w:r>
          </w:p>
        </w:tc>
        <w:tc>
          <w:tcPr/>
          <w:p>
            <w:pPr>
              <w:pStyle w:val="Compact"/>
              <w:jc w:val="left"/>
            </w:pPr>
            <w:r>
              <w:t xml:space="preserve">20,237.00</w:t>
            </w:r>
          </w:p>
        </w:tc>
      </w:tr>
      <w:tr>
        <w:tc>
          <w:tcPr/>
          <w:p>
            <w:pPr>
              <w:pStyle w:val="Compact"/>
              <w:jc w:val="left"/>
            </w:pPr>
            <w:r>
              <w:t xml:space="preserve">Withholding Tax (3% – Thai Revenue Code)</w:t>
            </w:r>
          </w:p>
        </w:tc>
        <w:tc>
          <w:tcPr/>
          <w:p>
            <w:pPr>
              <w:pStyle w:val="Compact"/>
              <w:jc w:val="left"/>
            </w:pPr>
            <w:r>
              <w:t xml:space="preserve">(8,673.00)</w:t>
            </w:r>
          </w:p>
        </w:tc>
      </w:tr>
      <w:tr>
        <w:tc>
          <w:tcPr/>
          <w:p>
            <w:pPr>
              <w:pStyle w:val="Compact"/>
              <w:jc w:val="left"/>
            </w:pPr>
            <w:r>
              <w:t xml:space="preserve">Grand Total Due</w:t>
            </w:r>
          </w:p>
        </w:tc>
        <w:tc>
          <w:tcPr/>
          <w:p>
            <w:pPr>
              <w:pStyle w:val="Compact"/>
              <w:jc w:val="left"/>
            </w:pPr>
            <w:r>
              <w:t xml:space="preserve">300,664.00</w:t>
            </w:r>
          </w:p>
        </w:tc>
      </w:tr>
    </w:tbl>
    <w:bookmarkStart w:id="23" w:name="payment-terms-instructions"/>
    <w:p>
      <w:pPr>
        <w:pStyle w:val="Heading4"/>
      </w:pPr>
      <w:r>
        <w:t xml:space="preserve">Payment Terms &amp; Instructions</w:t>
      </w:r>
    </w:p>
    <w:p>
      <w:pPr>
        <w:pStyle w:val="FirstParagraph"/>
      </w:pPr>
      <w:r>
        <w:t xml:space="preserve">This Invoice must be settled in full within fourteen (14) calendar days from the issue date, no later than 30 June 2025. Payment is to be made via bank transfer to the account designated by the Bangkok Metropolitan Education Board Finance Division.</w:t>
      </w:r>
    </w:p>
    <w:p>
      <w:pPr>
        <w:pStyle w:val="BodyText"/>
      </w:pPr>
      <w:r>
        <w:rPr>
          <w:bCs/>
          <w:b/>
        </w:rPr>
        <w:t xml:space="preserve">Bank:</w:t>
      </w:r>
      <w:r>
        <w:t xml:space="preserve"> </w:t>
      </w:r>
      <w:r>
        <w:t xml:space="preserve">Siam Commercial Bank (SCB)</w:t>
      </w:r>
    </w:p>
    <w:p>
      <w:pPr>
        <w:pStyle w:val="BodyText"/>
      </w:pPr>
      <w:r>
        <w:rPr>
          <w:bCs/>
          <w:b/>
        </w:rPr>
        <w:t xml:space="preserve">Account Name:</w:t>
      </w:r>
      <w:r>
        <w:t xml:space="preserve"> </w:t>
      </w:r>
      <w:r>
        <w:t xml:space="preserve">Bangkok Metropolitan Education Board – Secondary Education Fund</w:t>
      </w:r>
    </w:p>
    <w:p>
      <w:pPr>
        <w:pStyle w:val="BodyText"/>
      </w:pPr>
      <w:r>
        <w:rPr>
          <w:bCs/>
          <w:b/>
        </w:rPr>
        <w:t xml:space="preserve">Account No.:</w:t>
      </w:r>
      <w:r>
        <w:t xml:space="preserve"> </w:t>
      </w:r>
      <w:r>
        <w:t xml:space="preserve">012-3-45678-9</w:t>
      </w:r>
    </w:p>
    <w:p>
      <w:pPr>
        <w:pStyle w:val="BodyText"/>
      </w:pPr>
      <w:r>
        <w:rPr>
          <w:bCs/>
          <w:b/>
        </w:rPr>
        <w:t xml:space="preserve">Branch:</w:t>
      </w:r>
      <w:r>
        <w:t xml:space="preserve"> </w:t>
      </w:r>
      <w:r>
        <w:t xml:space="preserve">Sukhumvit Branch, Bangkok, Thailand</w:t>
      </w:r>
    </w:p>
    <w:p>
      <w:pPr>
        <w:pStyle w:val="BodyText"/>
      </w:pPr>
      <w:r>
        <w:t xml:space="preserve">Please reference Invoice number</w:t>
      </w:r>
      <w:r>
        <w:t xml:space="preserve"> </w:t>
      </w:r>
      <w:r>
        <w:rPr>
          <w:bCs/>
          <w:b/>
        </w:rPr>
        <w:t xml:space="preserve">TSB-2025-00472</w:t>
      </w:r>
      <w:r>
        <w:t xml:space="preserve"> </w:t>
      </w:r>
      <w:r>
        <w:t xml:space="preserve">in all payment communications. Late payments are subject to a 1.5% monthly interest charge as stipulated under Thai commercial law.</w:t>
      </w:r>
    </w:p>
    <w:bookmarkEnd w:id="23"/>
    <w:bookmarkStart w:id="24" w:name="notes-additional-information"/>
    <w:p>
      <w:pPr>
        <w:pStyle w:val="Heading4"/>
      </w:pPr>
      <w:r>
        <w:t xml:space="preserve">Notes &amp; Additional Information</w:t>
      </w:r>
    </w:p>
    <w:p>
      <w:pPr>
        <w:pStyle w:val="FirstParagraph"/>
      </w:pPr>
      <w:r>
        <w:t xml:space="preserve">This Invoice covers all Teacher Secondary professional services rendered during the month of May 2025 at the Bangkok International Secondary Academy, located in the Khlong Toei district of Thailand Bangkok. All instructional hours, laboratory sessions, tutoring engagements, and professional development activities listed above have been verified and approved by the Head of the Secondary Department.</w:t>
      </w:r>
    </w:p>
    <w:p>
      <w:pPr>
        <w:pStyle w:val="BodyText"/>
      </w:pPr>
      <w:r>
        <w:t xml:space="preserve">The Teacher Secondary services described in this document comply with the Ministry of Education's regulations governing secondary-level instruction in Thailand. All curriculum materials and assessment instruments referenced herein have been reviewed and endorsed by the Thailand Bangkok Regional Education Office.</w:t>
      </w:r>
    </w:p>
    <w:p>
      <w:pPr>
        <w:pStyle w:val="BodyText"/>
      </w:pPr>
      <w:r>
        <w:t xml:space="preserve">Should the client require any clarification regarding the line items, service descriptions, or tax calculations presented in this Invoice, please contact the undersigned Teacher Secondary directly or reach the Finance Office of Bangkok International Secondary Academy during standard business hours (Monday to Friday, 08:00–16:30 ICT).</w:t>
      </w:r>
    </w:p>
    <w:p>
      <w:pPr>
        <w:pStyle w:val="BodyText"/>
      </w:pPr>
      <w:r>
        <w:t xml:space="preserve">This Invoice is valid for a period of ninety (90) days from the date of issue. After this period, the Invoice may be subject to re-issuance and applicable administrative fees.</w:t>
      </w:r>
    </w:p>
    <w:bookmarkEnd w:id="24"/>
    <w:p>
      <w:pPr>
        <w:pStyle w:val="BodyText"/>
      </w:pPr>
      <w:r>
        <w:rPr>
          <w:bCs/>
          <w:b/>
        </w:rPr>
        <w:t xml:space="preserve">Teacher Secondary Professional Services Invoice</w:t>
      </w:r>
      <w:r>
        <w:t xml:space="preserve"> </w:t>
      </w:r>
      <w:r>
        <w:t xml:space="preserve">| Bangkok International Secondary Academy | Thailand Bangkok</w:t>
      </w:r>
    </w:p>
    <w:p>
      <w:pPr>
        <w:pStyle w:val="BodyText"/>
      </w:pPr>
      <w:r>
        <w:t xml:space="preserve">Document Reference: TSB-2025-00472 | Generated: 15 June 2025 | Page 1 of 1</w:t>
      </w:r>
    </w:p>
    <w:p>
      <w:pPr>
        <w:pStyle w:val="BodyText"/>
      </w:pPr>
      <w:r>
        <w:t xml:space="preserve">This Invoice has been prepared in accordance with the Thai Revenue Code and the regulations of the Bangkok Metropolitan Education Board. All amounts are stated in Thai Baht (THB) unless otherwise indicated.</w:t>
      </w:r>
    </w:p>
    <w:p>
      <w:pPr>
        <w:pStyle w:val="BodyText"/>
      </w:pPr>
      <w:r>
        <w:t xml:space="preserve">© 2025 Bangkok International Secondary Academy. All rights reserved. This Invoice is a legally binding financial document for the Teacher Secondary services rendered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Thailand Bangkok</dc:title>
  <dc:creator/>
  <dc:language>en</dc:language>
  <cp:keywords/>
  <dcterms:created xsi:type="dcterms:W3CDTF">2026-10-10T04:44:59Z</dcterms:created>
  <dcterms:modified xsi:type="dcterms:W3CDTF">2026-10-10T04:44:59Z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