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Teacher</w:t>
      </w:r>
      <w:r>
        <w:t xml:space="preserve"> </w:t>
      </w:r>
      <w:r>
        <w:t xml:space="preserve">Secondary</w:t>
      </w:r>
      <w:r>
        <w:t xml:space="preserve"> </w:t>
      </w:r>
      <w:r>
        <w:t xml:space="preserve">Services</w:t>
      </w:r>
      <w:r>
        <w:t xml:space="preserve"> </w:t>
      </w:r>
      <w:r>
        <w:t xml:space="preserve">-</w:t>
      </w:r>
      <w:r>
        <w:t xml:space="preserve"> </w:t>
      </w:r>
      <w:r>
        <w:t xml:space="preserve">Ankara,</w:t>
      </w:r>
      <w:r>
        <w:t xml:space="preserve"> </w:t>
      </w:r>
      <w:r>
        <w:t xml:space="preserve">Turkey</w:t>
      </w:r>
    </w:p>
    <w:p>
      <w:pPr>
        <w:pStyle w:val="FirstParagraph"/>
      </w:pPr>
      <w:r>
        <w:t xml:space="preserve">INVOICE</w:t>
      </w:r>
    </w:p>
    <w:p>
      <w:pPr>
        <w:pStyle w:val="BodyText"/>
      </w:pPr>
      <w:r>
        <w:t xml:space="preserve">Teacher Secondary Professional Services</w:t>
      </w:r>
    </w:p>
    <w:p>
      <w:pPr>
        <w:pStyle w:val="BodyText"/>
      </w:pPr>
      <w:r>
        <w:t xml:space="preserve">Ankara, Turkey</w:t>
      </w:r>
    </w:p>
    <w:bookmarkStart w:id="20" w:name="invoice-number-inv-ank-2025-04782"/>
    <w:p>
      <w:pPr>
        <w:pStyle w:val="Heading3"/>
      </w:pPr>
      <w:r>
        <w:t xml:space="preserve">Invoice Number: INV-ANK-2025-04782</w:t>
      </w:r>
    </w:p>
    <w:p>
      <w:pPr>
        <w:pStyle w:val="FirstParagraph"/>
      </w:pPr>
      <w:r>
        <w:t xml:space="preserve">Issue Date: 15 June 2025</w:t>
      </w:r>
    </w:p>
    <w:p>
      <w:pPr>
        <w:pStyle w:val="BodyText"/>
      </w:pPr>
      <w:r>
        <w:t xml:space="preserve">Due Date: 30 June 2025</w:t>
      </w:r>
    </w:p>
    <w:p>
      <w:pPr>
        <w:pStyle w:val="BodyText"/>
      </w:pPr>
      <w:r>
        <w:t xml:space="preserve">Service Period: 01 September 2024 – 31 May 2025</w:t>
      </w:r>
    </w:p>
    <w:p>
      <w:pPr>
        <w:pStyle w:val="BodyText"/>
      </w:pPr>
      <w:r>
        <w:t xml:space="preserve">Currency: Turkish Lira (TRY / TL)</w:t>
      </w:r>
    </w:p>
    <w:bookmarkEnd w:id="20"/>
    <w:bookmarkStart w:id="21" w:name="issued-by-service-provider"/>
    <w:p>
      <w:pPr>
        <w:pStyle w:val="Heading4"/>
      </w:pPr>
      <w:r>
        <w:t xml:space="preserve">Issued By (Service Provider)</w:t>
      </w:r>
    </w:p>
    <w:p>
      <w:pPr>
        <w:pStyle w:val="FirstParagraph"/>
      </w:pPr>
      <w:r>
        <w:rPr>
          <w:bCs/>
          <w:b/>
        </w:rPr>
        <w:t xml:space="preserve">Name:</w:t>
      </w:r>
      <w:r>
        <w:t xml:space="preserve"> </w:t>
      </w:r>
      <w:r>
        <w:t xml:space="preserve">Prof. Dr. Ayşe Kaya</w:t>
      </w:r>
    </w:p>
    <w:p>
      <w:pPr>
        <w:pStyle w:val="BodyText"/>
      </w:pPr>
      <w:r>
        <w:rPr>
          <w:bCs/>
          <w:b/>
        </w:rPr>
        <w:t xml:space="preserve">Role:</w:t>
      </w:r>
      <w:r>
        <w:t xml:space="preserve"> </w:t>
      </w:r>
      <w:r>
        <w:t xml:space="preserve">Teacher Secondary – Mathematics &amp; Physics</w:t>
      </w:r>
    </w:p>
    <w:p>
      <w:pPr>
        <w:pStyle w:val="BodyText"/>
      </w:pPr>
      <w:r>
        <w:rPr>
          <w:bCs/>
          <w:b/>
        </w:rPr>
        <w:t xml:space="preserve">Address:</w:t>
      </w:r>
      <w:r>
        <w:t xml:space="preserve"> </w:t>
      </w:r>
      <w:r>
        <w:t xml:space="preserve">Çankaya District, Kızılay Avenue No. 142/7, 06420 Ankara, Turkey</w:t>
      </w:r>
    </w:p>
    <w:p>
      <w:pPr>
        <w:pStyle w:val="BodyText"/>
      </w:pPr>
      <w:r>
        <w:rPr>
          <w:bCs/>
          <w:b/>
        </w:rPr>
        <w:t xml:space="preserve">Tax ID (Vergi No):</w:t>
      </w:r>
      <w:r>
        <w:t xml:space="preserve"> </w:t>
      </w:r>
      <w:r>
        <w:t xml:space="preserve">1234567890</w:t>
      </w:r>
    </w:p>
    <w:p>
      <w:pPr>
        <w:pStyle w:val="BodyText"/>
      </w:pPr>
      <w:r>
        <w:rPr>
          <w:bCs/>
          <w:b/>
        </w:rPr>
        <w:t xml:space="preserve">Phone:</w:t>
      </w:r>
      <w:r>
        <w:t xml:space="preserve"> </w:t>
      </w:r>
      <w:r>
        <w:t xml:space="preserve">+90 312 456 7890</w:t>
      </w:r>
    </w:p>
    <w:p>
      <w:pPr>
        <w:pStyle w:val="BodyText"/>
      </w:pPr>
      <w:r>
        <w:rPr>
          <w:bCs/>
          <w:b/>
        </w:rPr>
        <w:t xml:space="preserve">Email:</w:t>
      </w:r>
      <w:r>
        <w:t xml:space="preserve"> </w:t>
      </w:r>
      <w:r>
        <w:t xml:space="preserve">a.kaya@ankara-teacher.com</w:t>
      </w:r>
    </w:p>
    <w:bookmarkEnd w:id="21"/>
    <w:bookmarkStart w:id="22" w:name="issued-to-client-employer"/>
    <w:p>
      <w:pPr>
        <w:pStyle w:val="Heading4"/>
      </w:pPr>
      <w:r>
        <w:t xml:space="preserve">Issued To (Client / Employer)</w:t>
      </w:r>
    </w:p>
    <w:p>
      <w:pPr>
        <w:pStyle w:val="FirstParagraph"/>
      </w:pPr>
      <w:r>
        <w:rPr>
          <w:bCs/>
          <w:b/>
        </w:rPr>
        <w:t xml:space="preserve">Institution:</w:t>
      </w:r>
      <w:r>
        <w:t xml:space="preserve"> </w:t>
      </w:r>
      <w:r>
        <w:t xml:space="preserve">Ankara Anadolu Lisesi (Ankara Secondary School)</w:t>
      </w:r>
    </w:p>
    <w:p>
      <w:pPr>
        <w:pStyle w:val="BodyText"/>
      </w:pPr>
      <w:r>
        <w:rPr>
          <w:bCs/>
          <w:b/>
        </w:rPr>
        <w:t xml:space="preserve">Department:</w:t>
      </w:r>
      <w:r>
        <w:t xml:space="preserve"> </w:t>
      </w:r>
      <w:r>
        <w:t xml:space="preserve">Secondary Education Division</w:t>
      </w:r>
    </w:p>
    <w:p>
      <w:pPr>
        <w:pStyle w:val="BodyText"/>
      </w:pPr>
      <w:r>
        <w:rPr>
          <w:bCs/>
          <w:b/>
        </w:rPr>
        <w:t xml:space="preserve">Address:</w:t>
      </w:r>
      <w:r>
        <w:t xml:space="preserve"> </w:t>
      </w:r>
      <w:r>
        <w:t xml:space="preserve">Yenimahalle District, Atatürk Bulvarı No. 88, 06520 Ankara, Turkey</w:t>
      </w:r>
    </w:p>
    <w:p>
      <w:pPr>
        <w:pStyle w:val="BodyText"/>
      </w:pPr>
      <w:r>
        <w:rPr>
          <w:bCs/>
          <w:b/>
        </w:rPr>
        <w:t xml:space="preserve">Tax ID (Vergi No):</w:t>
      </w:r>
      <w:r>
        <w:t xml:space="preserve"> </w:t>
      </w:r>
      <w:r>
        <w:t xml:space="preserve">9876543210</w:t>
      </w:r>
    </w:p>
    <w:p>
      <w:pPr>
        <w:pStyle w:val="BodyText"/>
      </w:pPr>
      <w:r>
        <w:rPr>
          <w:bCs/>
          <w:b/>
        </w:rPr>
        <w:t xml:space="preserve">Authorized Signatory:</w:t>
      </w:r>
      <w:r>
        <w:t xml:space="preserve"> </w:t>
      </w:r>
      <w:r>
        <w:t xml:space="preserve">Dr. Mehmet Yılmaz, Principal</w:t>
      </w:r>
    </w:p>
    <w:p>
      <w:pPr>
        <w:pStyle w:val="BodyText"/>
      </w:pPr>
      <w:r>
        <w:rPr>
          <w:bCs/>
          <w:b/>
        </w:rPr>
        <w:t xml:space="preserve">Phone:</w:t>
      </w:r>
      <w:r>
        <w:t xml:space="preserve"> </w:t>
      </w:r>
      <w:r>
        <w:t xml:space="preserve">+90 312 345 6789</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Teacher Secondary Services</w:t>
            </w:r>
          </w:p>
        </w:tc>
        <w:tc>
          <w:tcPr/>
          <w:p>
            <w:pPr>
              <w:pStyle w:val="Compact"/>
              <w:jc w:val="left"/>
            </w:pPr>
            <w:r>
              <w:t xml:space="preserve">Service Period</w:t>
            </w:r>
          </w:p>
        </w:tc>
        <w:tc>
          <w:tcPr/>
          <w:p>
            <w:pPr>
              <w:pStyle w:val="Compact"/>
              <w:jc w:val="left"/>
            </w:pPr>
            <w:r>
              <w:t xml:space="preserve">Hours</w:t>
            </w:r>
          </w:p>
        </w:tc>
        <w:tc>
          <w:tcPr/>
          <w:p>
            <w:pPr>
              <w:pStyle w:val="Compact"/>
              <w:jc w:val="left"/>
            </w:pPr>
            <w:r>
              <w:t xml:space="preserve">Rate (TRY)</w:t>
            </w:r>
          </w:p>
        </w:tc>
        <w:tc>
          <w:tcPr/>
          <w:p>
            <w:pPr>
              <w:pStyle w:val="Compact"/>
              <w:jc w:val="left"/>
            </w:pPr>
            <w:r>
              <w:t xml:space="preserve">Amount (TRY)</w:t>
            </w:r>
          </w:p>
        </w:tc>
      </w:tr>
      <w:tr>
        <w:tc>
          <w:tcPr/>
          <w:p>
            <w:pPr>
              <w:pStyle w:val="Compact"/>
              <w:jc w:val="left"/>
            </w:pPr>
            <w:r>
              <w:t xml:space="preserve">1</w:t>
            </w:r>
          </w:p>
        </w:tc>
        <w:tc>
          <w:tcPr/>
          <w:p>
            <w:pPr>
              <w:pStyle w:val="Compact"/>
              <w:jc w:val="left"/>
            </w:pPr>
            <w:r>
              <w:t xml:space="preserve">Teacher Secondary – Mathematics Instruction (Grades 9–12): Delivery of 24 weekly classroom sessions covering algebra, geometry, trigonometry, and calculus preparation in accordance with the Turkish Ministry of National Education (MEB) curriculum standards for secondary education in Ankara.</w:t>
            </w:r>
          </w:p>
        </w:tc>
        <w:tc>
          <w:tcPr/>
          <w:p>
            <w:pPr>
              <w:pStyle w:val="Compact"/>
              <w:jc w:val="left"/>
            </w:pPr>
            <w:r>
              <w:t xml:space="preserve">Sep 2024 – May 2025</w:t>
            </w:r>
          </w:p>
        </w:tc>
        <w:tc>
          <w:tcPr/>
          <w:p>
            <w:pPr>
              <w:pStyle w:val="Compact"/>
              <w:jc w:val="left"/>
            </w:pPr>
            <w:r>
              <w:t xml:space="preserve">1,080</w:t>
            </w:r>
          </w:p>
        </w:tc>
        <w:tc>
          <w:tcPr/>
          <w:p>
            <w:pPr>
              <w:pStyle w:val="Compact"/>
              <w:jc w:val="left"/>
            </w:pPr>
            <w:r>
              <w:t xml:space="preserve">450.00</w:t>
            </w:r>
          </w:p>
        </w:tc>
        <w:tc>
          <w:tcPr/>
          <w:p>
            <w:pPr>
              <w:pStyle w:val="Compact"/>
              <w:jc w:val="left"/>
            </w:pPr>
            <w:r>
              <w:t xml:space="preserve">486,000.00</w:t>
            </w:r>
          </w:p>
        </w:tc>
      </w:tr>
      <w:tr>
        <w:tc>
          <w:tcPr/>
          <w:p>
            <w:pPr>
              <w:pStyle w:val="Compact"/>
              <w:jc w:val="left"/>
            </w:pPr>
            <w:r>
              <w:t xml:space="preserve">2</w:t>
            </w:r>
          </w:p>
        </w:tc>
        <w:tc>
          <w:tcPr/>
          <w:p>
            <w:pPr>
              <w:pStyle w:val="Compact"/>
              <w:jc w:val="left"/>
            </w:pPr>
            <w:r>
              <w:t xml:space="preserve">Teacher Secondary – Physics Laboratory Supervision: Planning, conducting, and supervising 48 hands-on physics laboratory experiments for secondary school students at the Ankara Secondary School science wing, including safety compliance with Turkish educational regulations.</w:t>
            </w:r>
          </w:p>
        </w:tc>
        <w:tc>
          <w:tcPr/>
          <w:p>
            <w:pPr>
              <w:pStyle w:val="Compact"/>
              <w:jc w:val="left"/>
            </w:pPr>
            <w:r>
              <w:t xml:space="preserve">Sep 2024 – May 2025</w:t>
            </w:r>
          </w:p>
        </w:tc>
        <w:tc>
          <w:tcPr/>
          <w:p>
            <w:pPr>
              <w:pStyle w:val="Compact"/>
              <w:jc w:val="left"/>
            </w:pPr>
            <w:r>
              <w:t xml:space="preserve">384</w:t>
            </w:r>
          </w:p>
        </w:tc>
        <w:tc>
          <w:tcPr/>
          <w:p>
            <w:pPr>
              <w:pStyle w:val="Compact"/>
              <w:jc w:val="left"/>
            </w:pPr>
            <w:r>
              <w:t xml:space="preserve">520.00</w:t>
            </w:r>
          </w:p>
        </w:tc>
        <w:tc>
          <w:tcPr/>
          <w:p>
            <w:pPr>
              <w:pStyle w:val="Compact"/>
              <w:jc w:val="left"/>
            </w:pPr>
            <w:r>
              <w:t xml:space="preserve">199,680.00</w:t>
            </w:r>
          </w:p>
        </w:tc>
      </w:tr>
      <w:tr>
        <w:tc>
          <w:tcPr/>
          <w:p>
            <w:pPr>
              <w:pStyle w:val="Compact"/>
              <w:jc w:val="left"/>
            </w:pPr>
            <w:r>
              <w:t xml:space="preserve">3</w:t>
            </w:r>
          </w:p>
        </w:tc>
        <w:tc>
          <w:tcPr/>
          <w:p>
            <w:pPr>
              <w:pStyle w:val="Compact"/>
              <w:jc w:val="left"/>
            </w:pPr>
            <w:r>
              <w:t xml:space="preserve">Teacher Secondary – YKS/ÖYS Exam Preparation: Designing and delivering 36 intensive preparation sessions for the Turkish university entrance examination (YKS) and secondary school placement exam (ÖYS), including mock examinations, performance analytics, and individualized remediation plans for 120 students in Ankara.</w:t>
            </w:r>
          </w:p>
        </w:tc>
        <w:tc>
          <w:tcPr/>
          <w:p>
            <w:pPr>
              <w:pStyle w:val="Compact"/>
              <w:jc w:val="left"/>
            </w:pPr>
            <w:r>
              <w:t xml:space="preserve">Jan 2025 – May 2025</w:t>
            </w:r>
          </w:p>
        </w:tc>
        <w:tc>
          <w:tcPr/>
          <w:p>
            <w:pPr>
              <w:pStyle w:val="Compact"/>
              <w:jc w:val="left"/>
            </w:pPr>
            <w:r>
              <w:t xml:space="preserve">432</w:t>
            </w:r>
          </w:p>
        </w:tc>
        <w:tc>
          <w:tcPr/>
          <w:p>
            <w:pPr>
              <w:pStyle w:val="Compact"/>
              <w:jc w:val="left"/>
            </w:pPr>
            <w:r>
              <w:t xml:space="preserve">600.00</w:t>
            </w:r>
          </w:p>
        </w:tc>
        <w:tc>
          <w:tcPr/>
          <w:p>
            <w:pPr>
              <w:pStyle w:val="Compact"/>
              <w:jc w:val="left"/>
            </w:pPr>
            <w:r>
              <w:t xml:space="preserve">259,200.00</w:t>
            </w:r>
          </w:p>
        </w:tc>
      </w:tr>
      <w:tr>
        <w:tc>
          <w:tcPr/>
          <w:p>
            <w:pPr>
              <w:pStyle w:val="Compact"/>
              <w:jc w:val="left"/>
            </w:pPr>
            <w:r>
              <w:t xml:space="preserve">4</w:t>
            </w:r>
          </w:p>
        </w:tc>
        <w:tc>
          <w:tcPr/>
          <w:p>
            <w:pPr>
              <w:pStyle w:val="Compact"/>
              <w:jc w:val="left"/>
            </w:pPr>
            <w:r>
              <w:t xml:space="preserve">Teacher Secondary – Curriculum Development &amp; Assessment: Development of termly assessment frameworks, rubrics, and standardized test papers aligned with the Ankara Provincial Directorate of National Education guidelines. Includes 4 major assessment cycles and continuous formative evaluation documentation.</w:t>
            </w:r>
          </w:p>
        </w:tc>
        <w:tc>
          <w:tcPr/>
          <w:p>
            <w:pPr>
              <w:pStyle w:val="Compact"/>
              <w:jc w:val="left"/>
            </w:pPr>
            <w:r>
              <w:t xml:space="preserve">Sep 2024 – May 2025</w:t>
            </w:r>
          </w:p>
        </w:tc>
        <w:tc>
          <w:tcPr/>
          <w:p>
            <w:pPr>
              <w:pStyle w:val="Compact"/>
              <w:jc w:val="left"/>
            </w:pPr>
            <w:r>
              <w:t xml:space="preserve">192</w:t>
            </w:r>
          </w:p>
        </w:tc>
        <w:tc>
          <w:tcPr/>
          <w:p>
            <w:pPr>
              <w:pStyle w:val="Compact"/>
              <w:jc w:val="left"/>
            </w:pPr>
            <w:r>
              <w:t xml:space="preserve">550.00</w:t>
            </w:r>
          </w:p>
        </w:tc>
        <w:tc>
          <w:tcPr/>
          <w:p>
            <w:pPr>
              <w:pStyle w:val="Compact"/>
              <w:jc w:val="left"/>
            </w:pPr>
            <w:r>
              <w:t xml:space="preserve">105,600.00</w:t>
            </w:r>
          </w:p>
        </w:tc>
      </w:tr>
      <w:tr>
        <w:tc>
          <w:tcPr/>
          <w:p>
            <w:pPr>
              <w:pStyle w:val="Compact"/>
              <w:jc w:val="left"/>
            </w:pPr>
            <w:r>
              <w:t xml:space="preserve">5</w:t>
            </w:r>
          </w:p>
        </w:tc>
        <w:tc>
          <w:tcPr/>
          <w:p>
            <w:pPr>
              <w:pStyle w:val="Compact"/>
              <w:jc w:val="left"/>
            </w:pPr>
            <w:r>
              <w:t xml:space="preserve">Teacher Secondary – Parent-Student Conferences &amp; Counseling: Conducting 12 scheduled parent-teacher conferences per term, individual student progress counseling sessions, and preparation of written academic progress reports for all assigned secondary school students in the Ankara campus.</w:t>
            </w:r>
          </w:p>
        </w:tc>
        <w:tc>
          <w:tcPr/>
          <w:p>
            <w:pPr>
              <w:pStyle w:val="Compact"/>
              <w:jc w:val="left"/>
            </w:pPr>
            <w:r>
              <w:t xml:space="preserve">Sep 2024 – May 2025</w:t>
            </w:r>
          </w:p>
        </w:tc>
        <w:tc>
          <w:tcPr/>
          <w:p>
            <w:pPr>
              <w:pStyle w:val="Compact"/>
              <w:jc w:val="left"/>
            </w:pPr>
            <w:r>
              <w:t xml:space="preserve">96</w:t>
            </w:r>
          </w:p>
        </w:tc>
        <w:tc>
          <w:tcPr/>
          <w:p>
            <w:pPr>
              <w:pStyle w:val="Compact"/>
              <w:jc w:val="left"/>
            </w:pPr>
            <w:r>
              <w:t xml:space="preserve">480.00</w:t>
            </w:r>
          </w:p>
        </w:tc>
        <w:tc>
          <w:tcPr/>
          <w:p>
            <w:pPr>
              <w:pStyle w:val="Compact"/>
              <w:jc w:val="left"/>
            </w:pPr>
            <w:r>
              <w:t xml:space="preserve">46,080.00</w:t>
            </w:r>
          </w:p>
        </w:tc>
      </w:tr>
      <w:tr>
        <w:tc>
          <w:tcPr/>
          <w:p>
            <w:pPr>
              <w:pStyle w:val="Compact"/>
              <w:jc w:val="left"/>
            </w:pPr>
            <w:r>
              <w:t xml:space="preserve">6</w:t>
            </w:r>
          </w:p>
        </w:tc>
        <w:tc>
          <w:tcPr/>
          <w:p>
            <w:pPr>
              <w:pStyle w:val="Compact"/>
              <w:jc w:val="left"/>
            </w:pPr>
            <w:r>
              <w:t xml:space="preserve">Teacher Secondary – Professional Development &amp; MEB Compliance: Participation in mandatory Ministry of National Education (MEB) in-service training programs, pedagogical workshops hosted in Ankara, and submission of annual professional development reports as required for Teacher Secondary certification renewal in Turkey.</w:t>
            </w:r>
          </w:p>
        </w:tc>
        <w:tc>
          <w:tcPr/>
          <w:p>
            <w:pPr>
              <w:pStyle w:val="Compact"/>
              <w:jc w:val="left"/>
            </w:pPr>
            <w:r>
              <w:t xml:space="preserve">Sep 2024 – May 2025</w:t>
            </w:r>
          </w:p>
        </w:tc>
        <w:tc>
          <w:tcPr/>
          <w:p>
            <w:pPr>
              <w:pStyle w:val="Compact"/>
              <w:jc w:val="left"/>
            </w:pPr>
            <w:r>
              <w:t xml:space="preserve">48</w:t>
            </w:r>
          </w:p>
        </w:tc>
        <w:tc>
          <w:tcPr/>
          <w:p>
            <w:pPr>
              <w:pStyle w:val="Compact"/>
              <w:jc w:val="left"/>
            </w:pPr>
            <w:r>
              <w:t xml:space="preserve">500.00</w:t>
            </w:r>
          </w:p>
        </w:tc>
        <w:tc>
          <w:tcPr/>
          <w:p>
            <w:pPr>
              <w:pStyle w:val="Compact"/>
              <w:jc w:val="left"/>
            </w:pPr>
            <w:r>
              <w:t xml:space="preserve">24,000.00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1,120,560.00 TRY</w:t>
            </w:r>
          </w:p>
        </w:tc>
      </w:tr>
      <w:tr>
        <w:tc>
          <w:tcPr/>
          <w:p>
            <w:pPr>
              <w:pStyle w:val="Compact"/>
              <w:jc w:val="left"/>
            </w:pPr>
            <w:r>
              <w:t xml:space="preserve">VAT (KDV) – 20%</w:t>
            </w:r>
          </w:p>
        </w:tc>
        <w:tc>
          <w:tcPr/>
          <w:p>
            <w:pPr>
              <w:pStyle w:val="Compact"/>
              <w:jc w:val="right"/>
            </w:pPr>
            <w:r>
              <w:t xml:space="preserve">224,112.00 TRY</w:t>
            </w:r>
          </w:p>
        </w:tc>
      </w:tr>
      <w:tr>
        <w:tc>
          <w:tcPr/>
          <w:p>
            <w:pPr>
              <w:pStyle w:val="Compact"/>
              <w:jc w:val="left"/>
            </w:pPr>
            <w:r>
              <w:t xml:space="preserve">Withholding Tax (Stopaj) – 20%</w:t>
            </w:r>
          </w:p>
        </w:tc>
        <w:tc>
          <w:tcPr/>
          <w:p>
            <w:pPr>
              <w:pStyle w:val="Compact"/>
              <w:jc w:val="right"/>
            </w:pPr>
            <w:r>
              <w:t xml:space="preserve">-224,112.00 TRY</w:t>
            </w:r>
          </w:p>
        </w:tc>
      </w:tr>
      <w:tr>
        <w:tc>
          <w:tcPr/>
          <w:p>
            <w:pPr>
              <w:pStyle w:val="Compact"/>
              <w:jc w:val="left"/>
            </w:pPr>
            <w:r>
              <w:t xml:space="preserve">NET PAYABLE AMOUNT</w:t>
            </w:r>
          </w:p>
        </w:tc>
        <w:tc>
          <w:tcPr/>
          <w:p>
            <w:pPr>
              <w:pStyle w:val="Compact"/>
              <w:jc w:val="right"/>
            </w:pPr>
            <w:r>
              <w:t xml:space="preserve">1,120,560.00 TRY</w:t>
            </w:r>
          </w:p>
        </w:tc>
      </w:tr>
    </w:tbl>
    <w:bookmarkStart w:id="23" w:name="terms-conditions-payment-notes"/>
    <w:p>
      <w:pPr>
        <w:pStyle w:val="Heading4"/>
      </w:pPr>
      <w:r>
        <w:t xml:space="preserve">Terms, Conditions &amp; Payment Notes</w:t>
      </w:r>
    </w:p>
    <w:p>
      <w:pPr>
        <w:pStyle w:val="FirstParagraph"/>
      </w:pPr>
      <w:r>
        <w:rPr>
          <w:bCs/>
          <w:b/>
        </w:rPr>
        <w:t xml:space="preserve">1.</w:t>
      </w:r>
      <w:r>
        <w:t xml:space="preserve"> </w:t>
      </w:r>
      <w:r>
        <w:t xml:space="preserve">This invoice pertains exclusively to the professional services rendered by the undersigned Teacher Secondary at Ankara Anadolu Lisesi, located in the Çankaya and Yenimahalle districts of Ankara, Turkey, during the 2024–2025 academic year.</w:t>
      </w:r>
    </w:p>
    <w:p>
      <w:pPr>
        <w:pStyle w:val="BodyText"/>
      </w:pPr>
      <w:r>
        <w:rPr>
          <w:bCs/>
          <w:b/>
        </w:rPr>
        <w:t xml:space="preserve">2.</w:t>
      </w:r>
      <w:r>
        <w:t xml:space="preserve"> </w:t>
      </w:r>
      <w:r>
        <w:t xml:space="preserve">Payment shall be made via bank transfer to the account specified below within 15 calendar days of the due date. Late payments shall incur a statutory interest rate as defined under Turkish Commercial Law (Türk Ticaret Kanunu) Article 30.</w:t>
      </w:r>
    </w:p>
    <w:p>
      <w:pPr>
        <w:pStyle w:val="BodyText"/>
      </w:pPr>
      <w:r>
        <w:rPr>
          <w:bCs/>
          <w:b/>
        </w:rPr>
        <w:t xml:space="preserve">3.</w:t>
      </w:r>
      <w:r>
        <w:t xml:space="preserve"> </w:t>
      </w:r>
      <w:r>
        <w:t xml:space="preserve">All services described herein comply with the regulations set forth by the Turkish Ministry of National Education (Milli Eğitim Bakanlığı – MEB) and the Ankara Provincial Directorate of National Education for secondary school (ortaöğretim) instruction.</w:t>
      </w:r>
    </w:p>
    <w:p>
      <w:pPr>
        <w:pStyle w:val="BodyText"/>
      </w:pPr>
      <w:r>
        <w:rPr>
          <w:bCs/>
          <w:b/>
        </w:rPr>
        <w:t xml:space="preserve">4.</w:t>
      </w:r>
      <w:r>
        <w:t xml:space="preserve"> </w:t>
      </w:r>
      <w:r>
        <w:t xml:space="preserve">The Teacher Secondary services include all classroom instruction, laboratory supervision, examination preparation, assessment design, parent communication, and professional development activities as itemized above. No additional charges shall apply for standard duties within the scope of a Teacher Secondary position in Ankara.</w:t>
      </w:r>
    </w:p>
    <w:p>
      <w:pPr>
        <w:pStyle w:val="BodyText"/>
      </w:pPr>
      <w:r>
        <w:rPr>
          <w:bCs/>
          <w:b/>
        </w:rPr>
        <w:t xml:space="preserve">5.</w:t>
      </w:r>
      <w:r>
        <w:t xml:space="preserve"> </w:t>
      </w:r>
      <w:r>
        <w:t xml:space="preserve">This invoice is issued in accordance with Turkish tax legislation (Gelir Vergisi Kanunu) and the relevant provisions governing the employment and compensation of secondary school teachers in the Republic of Turkey.</w:t>
      </w:r>
    </w:p>
    <w:p>
      <w:pPr>
        <w:pStyle w:val="BodyText"/>
      </w:pPr>
      <w:r>
        <w:rPr>
          <w:bCs/>
          <w:b/>
        </w:rPr>
        <w:t xml:space="preserve">6.</w:t>
      </w:r>
      <w:r>
        <w:t xml:space="preserve"> </w:t>
      </w:r>
      <w:r>
        <w:t xml:space="preserve">Bank Details – IBAN: TR33 0006 4000 0011 2345 6789 01 | Bank: Ziraat Bankası, Ankara Main Branch | Account Holder: Prof. Dr. Ayşe Kaya.</w:t>
      </w:r>
    </w:p>
    <w:p>
      <w:pPr>
        <w:pStyle w:val="BodyText"/>
      </w:pPr>
      <w:r>
        <w:rPr>
          <w:bCs/>
          <w:b/>
        </w:rPr>
        <w:t xml:space="preserve">7.</w:t>
      </w:r>
      <w:r>
        <w:t xml:space="preserve"> </w:t>
      </w:r>
      <w:r>
        <w:t xml:space="preserve">Any disputes arising from this invoice shall be subject to the jurisdiction of the Ankara Courts and the applicable laws of the Republic of Turkey.</w:t>
      </w:r>
    </w:p>
    <w:bookmarkEnd w:id="23"/>
    <w:p>
      <w:pPr>
        <w:pStyle w:val="BodyText"/>
      </w:pPr>
      <w:r>
        <w:rPr>
          <w:bCs/>
          <w:b/>
        </w:rPr>
        <w:t xml:space="preserve">Teacher Secondary Professional Services Invoice</w:t>
      </w:r>
      <w:r>
        <w:t xml:space="preserve"> </w:t>
      </w:r>
      <w:r>
        <w:t xml:space="preserve">| Ankara, Turkey | 2024–2025 Academic Year</w:t>
      </w:r>
    </w:p>
    <w:p>
      <w:pPr>
        <w:pStyle w:val="BodyText"/>
      </w:pPr>
      <w:r>
        <w:t xml:space="preserve">This document is a legally binding invoice issued under the tax regulations of the Republic of Turkey. It certifies the professional Teacher Secondary services delivered at the Ankara Secondary School campus and constitutes valid financial documentation for both the service provider and the employing institution.</w:t>
      </w:r>
    </w:p>
    <w:p>
      <w:pPr>
        <w:pStyle w:val="BodyText"/>
      </w:pPr>
      <w:r>
        <w:t xml:space="preserve">Generated on 15 June 2025 | Invoice Reference: INV-ANK-2025-04782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Teacher Secondary Services - Ankara, Turkey</dc:title>
  <dc:creator/>
  <dc:language>en</dc:language>
  <cp:keywords/>
  <dcterms:created xsi:type="dcterms:W3CDTF">2026-10-10T06:24:59Z</dcterms:created>
  <dcterms:modified xsi:type="dcterms:W3CDTF">2026-10-10T06:24:59Z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