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Turkey</w:t>
      </w:r>
      <w:r>
        <w:t xml:space="preserve"> </w:t>
      </w:r>
      <w:r>
        <w:t xml:space="preserve">Istanbul</w:t>
      </w:r>
    </w:p>
    <w:p>
      <w:pPr>
        <w:pStyle w:val="FirstParagraph"/>
      </w:pPr>
      <w:r>
        <w:t xml:space="preserve">INVOICE</w:t>
      </w:r>
    </w:p>
    <w:p>
      <w:pPr>
        <w:pStyle w:val="BodyText"/>
      </w:pPr>
      <w:r>
        <w:t xml:space="preserve">Invoice No: TR-IST-2025-04872</w:t>
      </w:r>
    </w:p>
    <w:p>
      <w:pPr>
        <w:pStyle w:val="BodyText"/>
      </w:pPr>
      <w:r>
        <w:t xml:space="preserve">Date of Issue: 15 June 2025</w:t>
      </w:r>
    </w:p>
    <w:p>
      <w:pPr>
        <w:pStyle w:val="BodyText"/>
      </w:pPr>
      <w:r>
        <w:t xml:space="preserve">Due Date: 15 July 2025</w:t>
      </w:r>
    </w:p>
    <w:bookmarkStart w:id="20" w:name="istanbul-education-services-ltd."/>
    <w:p>
      <w:pPr>
        <w:pStyle w:val="Heading3"/>
      </w:pPr>
      <w:r>
        <w:t xml:space="preserve">Istanbul Education Services Ltd.</w:t>
      </w:r>
    </w:p>
    <w:p>
      <w:pPr>
        <w:pStyle w:val="FirstParagraph"/>
      </w:pPr>
      <w:r>
        <w:t xml:space="preserve">Address: Büyükdere Caddesi No. 142, 34450</w:t>
      </w:r>
    </w:p>
    <w:p>
      <w:pPr>
        <w:pStyle w:val="BodyText"/>
      </w:pPr>
      <w:r>
        <w:t xml:space="preserve">Esentepe, Şişli / Istanbul, Turkey</w:t>
      </w:r>
    </w:p>
    <w:p>
      <w:pPr>
        <w:pStyle w:val="BodyText"/>
      </w:pPr>
      <w:r>
        <w:t xml:space="preserve">Tax ID (VKN): 1234567890</w:t>
      </w:r>
    </w:p>
    <w:p>
      <w:pPr>
        <w:pStyle w:val="BodyText"/>
      </w:pPr>
      <w:r>
        <w:t xml:space="preserve">Phone: +90 212 555 0142</w:t>
      </w:r>
    </w:p>
    <w:p>
      <w:pPr>
        <w:pStyle w:val="BodyText"/>
      </w:pPr>
      <w:r>
        <w:t xml:space="preserve">Email: billing@istanbuledservices.com</w:t>
      </w:r>
    </w:p>
    <w:bookmarkEnd w:id="20"/>
    <w:bookmarkStart w:id="21" w:name="bill-to"/>
    <w:p>
      <w:pPr>
        <w:pStyle w:val="Heading4"/>
      </w:pPr>
      <w:r>
        <w:t xml:space="preserve">Bill To</w:t>
      </w:r>
    </w:p>
    <w:p>
      <w:pPr>
        <w:pStyle w:val="FirstParagraph"/>
      </w:pPr>
      <w:r>
        <w:rPr>
          <w:bCs/>
          <w:b/>
        </w:rPr>
        <w:t xml:space="preserve">Istanbul Metropolitan Municipality</w:t>
      </w:r>
    </w:p>
    <w:p>
      <w:pPr>
        <w:pStyle w:val="BodyText"/>
      </w:pPr>
      <w:r>
        <w:t xml:space="preserve">Department of Secondary Education</w:t>
      </w:r>
    </w:p>
    <w:p>
      <w:pPr>
        <w:pStyle w:val="BodyText"/>
      </w:pPr>
      <w:r>
        <w:t xml:space="preserve">Atatürk Bulvarı No. 78, 34000</w:t>
      </w:r>
    </w:p>
    <w:p>
      <w:pPr>
        <w:pStyle w:val="BodyText"/>
      </w:pPr>
      <w:r>
        <w:t xml:space="preserve">Kadıköy / Istanbul, Turkey</w:t>
      </w:r>
    </w:p>
    <w:p>
      <w:pPr>
        <w:pStyle w:val="BodyText"/>
      </w:pPr>
      <w:r>
        <w:t xml:space="preserve">Contact: Mr. Ahmet Yılmaz</w:t>
      </w:r>
    </w:p>
    <w:p>
      <w:pPr>
        <w:pStyle w:val="BodyText"/>
      </w:pPr>
      <w:r>
        <w:t xml:space="preserve">Tax ID (VKN): 9876543210</w:t>
      </w:r>
    </w:p>
    <w:bookmarkEnd w:id="21"/>
    <w:bookmarkStart w:id="22" w:name="service-provider"/>
    <w:p>
      <w:pPr>
        <w:pStyle w:val="Heading4"/>
      </w:pPr>
      <w:r>
        <w:t xml:space="preserve">Service Provider</w:t>
      </w:r>
    </w:p>
    <w:p>
      <w:pPr>
        <w:pStyle w:val="FirstParagraph"/>
      </w:pPr>
      <w:r>
        <w:rPr>
          <w:bCs/>
          <w:b/>
        </w:rPr>
        <w:t xml:space="preserve">Istanbul Education Services Ltd.</w:t>
      </w:r>
    </w:p>
    <w:p>
      <w:pPr>
        <w:pStyle w:val="BodyText"/>
      </w:pPr>
      <w:r>
        <w:t xml:space="preserve">Teacher Secondary Program Division</w:t>
      </w:r>
    </w:p>
    <w:p>
      <w:pPr>
        <w:pStyle w:val="BodyText"/>
      </w:pPr>
      <w:r>
        <w:t xml:space="preserve">Büyükdere Caddesi No. 142, 34450</w:t>
      </w:r>
    </w:p>
    <w:p>
      <w:pPr>
        <w:pStyle w:val="BodyText"/>
      </w:pPr>
      <w:r>
        <w:t xml:space="preserve">Esentepe, Şişli / Istanbul, Turkey</w:t>
      </w:r>
    </w:p>
    <w:p>
      <w:pPr>
        <w:pStyle w:val="BodyText"/>
      </w:pPr>
      <w:r>
        <w:t xml:space="preserve">Contact: Ms. Elif Kaya</w:t>
      </w:r>
    </w:p>
    <w:p>
      <w:pPr>
        <w:pStyle w:val="BodyText"/>
      </w:pPr>
      <w:r>
        <w:t xml:space="preserve">Tax ID (VKN): 1234567890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Amount (TRY)</w:t>
            </w:r>
          </w:p>
        </w:tc>
        <w:tc>
          <w:tcPr/>
          <w:p>
            <w:pPr>
              <w:pStyle w:val="Compact"/>
              <w:jc w:val="left"/>
            </w:pPr>
            <w:r>
              <w:t xml:space="preserve">VAT Rate</w:t>
            </w:r>
          </w:p>
        </w:tc>
      </w:tr>
      <w:tr>
        <w:tc>
          <w:tcPr/>
          <w:p>
            <w:pPr>
              <w:pStyle w:val="Compact"/>
              <w:jc w:val="left"/>
            </w:pPr>
            <w:r>
              <w:t xml:space="preserve">1</w:t>
            </w:r>
          </w:p>
        </w:tc>
        <w:tc>
          <w:tcPr/>
          <w:p>
            <w:pPr>
              <w:pStyle w:val="Compact"/>
              <w:jc w:val="left"/>
            </w:pPr>
            <w:r>
              <w:t xml:space="preserve">Teacher Secondary – Mathematics Instruction (Grades 9–12), weekly classroom delivery at Kadıköy Secondary School, Istanbul, Turkey</w:t>
            </w:r>
          </w:p>
        </w:tc>
        <w:tc>
          <w:tcPr/>
          <w:p>
            <w:pPr>
              <w:pStyle w:val="Compact"/>
              <w:jc w:val="left"/>
            </w:pPr>
            <w:r>
              <w:t xml:space="preserve">22 sessions</w:t>
            </w:r>
          </w:p>
        </w:tc>
        <w:tc>
          <w:tcPr/>
          <w:p>
            <w:pPr>
              <w:pStyle w:val="Compact"/>
              <w:jc w:val="left"/>
            </w:pPr>
            <w:r>
              <w:t xml:space="preserve">1,850.00</w:t>
            </w:r>
          </w:p>
        </w:tc>
        <w:tc>
          <w:tcPr/>
          <w:p>
            <w:pPr>
              <w:pStyle w:val="Compact"/>
              <w:jc w:val="left"/>
            </w:pPr>
            <w:r>
              <w:t xml:space="preserve">40,700.00</w:t>
            </w:r>
          </w:p>
        </w:tc>
        <w:tc>
          <w:tcPr/>
          <w:p>
            <w:pPr>
              <w:pStyle w:val="Compact"/>
              <w:jc w:val="left"/>
            </w:pPr>
            <w:r>
              <w:t xml:space="preserve">20%</w:t>
            </w:r>
          </w:p>
        </w:tc>
      </w:tr>
      <w:tr>
        <w:tc>
          <w:tcPr/>
          <w:p>
            <w:pPr>
              <w:pStyle w:val="Compact"/>
              <w:jc w:val="left"/>
            </w:pPr>
            <w:r>
              <w:t xml:space="preserve">2</w:t>
            </w:r>
          </w:p>
        </w:tc>
        <w:tc>
          <w:tcPr/>
          <w:p>
            <w:pPr>
              <w:pStyle w:val="Compact"/>
              <w:jc w:val="left"/>
            </w:pPr>
            <w:r>
              <w:t xml:space="preserve">Teacher Secondary – Turkish Language and Literature Curriculum Development, aligned with MEB national standards for secondary education in Turkey Istanbul</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c>
          <w:tcPr/>
          <w:p>
            <w:pPr>
              <w:pStyle w:val="Compact"/>
              <w:jc w:val="left"/>
            </w:pPr>
            <w:r>
              <w:t xml:space="preserve">20%</w:t>
            </w:r>
          </w:p>
        </w:tc>
      </w:tr>
      <w:tr>
        <w:tc>
          <w:tcPr/>
          <w:p>
            <w:pPr>
              <w:pStyle w:val="Compact"/>
              <w:jc w:val="left"/>
            </w:pPr>
            <w:r>
              <w:t xml:space="preserve">3</w:t>
            </w:r>
          </w:p>
        </w:tc>
        <w:tc>
          <w:tcPr/>
          <w:p>
            <w:pPr>
              <w:pStyle w:val="Compact"/>
              <w:jc w:val="left"/>
            </w:pPr>
            <w:r>
              <w:t xml:space="preserve">Teacher Secondary – Science Laboratory Supervision and Practical Examination Administration, Beyoğlu Secondary Campus, Istanbul, Turkey</w:t>
            </w:r>
          </w:p>
        </w:tc>
        <w:tc>
          <w:tcPr/>
          <w:p>
            <w:pPr>
              <w:pStyle w:val="Compact"/>
              <w:jc w:val="left"/>
            </w:pPr>
            <w:r>
              <w:t xml:space="preserve">16 sessions</w:t>
            </w:r>
          </w:p>
        </w:tc>
        <w:tc>
          <w:tcPr/>
          <w:p>
            <w:pPr>
              <w:pStyle w:val="Compact"/>
              <w:jc w:val="left"/>
            </w:pPr>
            <w:r>
              <w:t xml:space="preserve">2,200.00</w:t>
            </w:r>
          </w:p>
        </w:tc>
        <w:tc>
          <w:tcPr/>
          <w:p>
            <w:pPr>
              <w:pStyle w:val="Compact"/>
              <w:jc w:val="left"/>
            </w:pPr>
            <w:r>
              <w:t xml:space="preserve">35,200.00</w:t>
            </w:r>
          </w:p>
        </w:tc>
        <w:tc>
          <w:tcPr/>
          <w:p>
            <w:pPr>
              <w:pStyle w:val="Compact"/>
              <w:jc w:val="left"/>
            </w:pPr>
            <w:r>
              <w:t xml:space="preserve">20%</w:t>
            </w:r>
          </w:p>
        </w:tc>
      </w:tr>
      <w:tr>
        <w:tc>
          <w:tcPr/>
          <w:p>
            <w:pPr>
              <w:pStyle w:val="Compact"/>
              <w:jc w:val="left"/>
            </w:pPr>
            <w:r>
              <w:t xml:space="preserve">4</w:t>
            </w:r>
          </w:p>
        </w:tc>
        <w:tc>
          <w:tcPr/>
          <w:p>
            <w:pPr>
              <w:pStyle w:val="Compact"/>
              <w:jc w:val="left"/>
            </w:pPr>
            <w:r>
              <w:t xml:space="preserve">Teacher Secondary – Student Assessment and Report Card Preparation for the Spring 2025 Term, covering all secondary-level subjects in the Turkey Istanbul district</w:t>
            </w:r>
          </w:p>
        </w:tc>
        <w:tc>
          <w:tcPr/>
          <w:p>
            <w:pPr>
              <w:pStyle w:val="Compact"/>
              <w:jc w:val="left"/>
            </w:pPr>
            <w:r>
              <w:t xml:space="preserve">1 term</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20%</w:t>
            </w:r>
          </w:p>
        </w:tc>
      </w:tr>
      <w:tr>
        <w:tc>
          <w:tcPr/>
          <w:p>
            <w:pPr>
              <w:pStyle w:val="Compact"/>
              <w:jc w:val="left"/>
            </w:pPr>
            <w:r>
              <w:t xml:space="preserve">5</w:t>
            </w:r>
          </w:p>
        </w:tc>
        <w:tc>
          <w:tcPr/>
          <w:p>
            <w:pPr>
              <w:pStyle w:val="Compact"/>
              <w:jc w:val="left"/>
            </w:pPr>
            <w:r>
              <w:t xml:space="preserve">Teacher Secondary – Professional Development Workshop for Secondary Faculty, held at the Istanbul Education Center, Şişli, Turkey</w:t>
            </w:r>
          </w:p>
        </w:tc>
        <w:tc>
          <w:tcPr/>
          <w:p>
            <w:pPr>
              <w:pStyle w:val="Compact"/>
              <w:jc w:val="left"/>
            </w:pPr>
            <w:r>
              <w:t xml:space="preserve">2 workshops</w:t>
            </w:r>
          </w:p>
        </w:tc>
        <w:tc>
          <w:tcPr/>
          <w:p>
            <w:pPr>
              <w:pStyle w:val="Compact"/>
              <w:jc w:val="left"/>
            </w:pPr>
            <w:r>
              <w:t xml:space="preserve">4,300.00</w:t>
            </w:r>
          </w:p>
        </w:tc>
        <w:tc>
          <w:tcPr/>
          <w:p>
            <w:pPr>
              <w:pStyle w:val="Compact"/>
              <w:jc w:val="left"/>
            </w:pPr>
            <w:r>
              <w:t xml:space="preserve">8,600.00</w:t>
            </w:r>
          </w:p>
        </w:tc>
        <w:tc>
          <w:tcPr/>
          <w:p>
            <w:pPr>
              <w:pStyle w:val="Compact"/>
              <w:jc w:val="left"/>
            </w:pPr>
            <w:r>
              <w:t xml:space="preserve">20%</w:t>
            </w:r>
          </w:p>
        </w:tc>
      </w:tr>
      <w:tr>
        <w:tc>
          <w:tcPr/>
          <w:p>
            <w:pPr>
              <w:pStyle w:val="Compact"/>
              <w:jc w:val="left"/>
            </w:pPr>
            <w:r>
              <w:t xml:space="preserve">6</w:t>
            </w:r>
          </w:p>
        </w:tc>
        <w:tc>
          <w:tcPr/>
          <w:p>
            <w:pPr>
              <w:pStyle w:val="Compact"/>
              <w:jc w:val="left"/>
            </w:pPr>
            <w:r>
              <w:t xml:space="preserve">Teacher Secondary – Extracurricular Program Coordination (Sports and Arts), secondary school level, Turkey Istanbul metropolitan area</w:t>
            </w:r>
          </w:p>
        </w:tc>
        <w:tc>
          <w:tcPr/>
          <w:p>
            <w:pPr>
              <w:pStyle w:val="Compact"/>
              <w:jc w:val="left"/>
            </w:pPr>
            <w:r>
              <w:t xml:space="preserve">12 sessions</w:t>
            </w:r>
          </w:p>
        </w:tc>
        <w:tc>
          <w:tcPr/>
          <w:p>
            <w:pPr>
              <w:pStyle w:val="Compact"/>
              <w:jc w:val="left"/>
            </w:pPr>
            <w:r>
              <w:t xml:space="preserve">1,400.00</w:t>
            </w:r>
          </w:p>
        </w:tc>
        <w:tc>
          <w:tcPr/>
          <w:p>
            <w:pPr>
              <w:pStyle w:val="Compact"/>
              <w:jc w:val="left"/>
            </w:pPr>
            <w:r>
              <w:t xml:space="preserve">16,800.00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(TRY)</w:t>
            </w:r>
          </w:p>
        </w:tc>
        <w:tc>
          <w:tcPr/>
          <w:p>
            <w:pPr>
              <w:pStyle w:val="Compact"/>
              <w:jc w:val="left"/>
            </w:pPr>
            <w:r>
              <w:t xml:space="preserve">122,550.00</w:t>
            </w:r>
          </w:p>
        </w:tc>
      </w:tr>
      <w:tr>
        <w:tc>
          <w:tcPr/>
          <w:p>
            <w:pPr>
              <w:pStyle w:val="Compact"/>
              <w:jc w:val="left"/>
            </w:pPr>
            <w:r>
              <w:t xml:space="preserve">VAT @ 20% (TRY)</w:t>
            </w:r>
          </w:p>
        </w:tc>
        <w:tc>
          <w:tcPr/>
          <w:p>
            <w:pPr>
              <w:pStyle w:val="Compact"/>
              <w:jc w:val="left"/>
            </w:pPr>
            <w:r>
              <w:t xml:space="preserve">24,510.00</w:t>
            </w:r>
          </w:p>
        </w:tc>
      </w:tr>
      <w:tr>
        <w:tc>
          <w:tcPr/>
          <w:p>
            <w:pPr>
              <w:pStyle w:val="Compact"/>
              <w:jc w:val="left"/>
            </w:pPr>
            <w:r>
              <w:t xml:space="preserve">Withholding Tax @ 5% (TRY)</w:t>
            </w:r>
          </w:p>
        </w:tc>
        <w:tc>
          <w:tcPr/>
          <w:p>
            <w:pPr>
              <w:pStyle w:val="Compact"/>
              <w:jc w:val="left"/>
            </w:pPr>
            <w:r>
              <w:t xml:space="preserve">-6,127.50</w:t>
            </w:r>
          </w:p>
        </w:tc>
      </w:tr>
      <w:tr>
        <w:tc>
          <w:tcPr/>
          <w:p>
            <w:pPr>
              <w:pStyle w:val="Compact"/>
              <w:jc w:val="left"/>
            </w:pPr>
            <w:r>
              <w:t xml:space="preserve">Grand Total (TRY)</w:t>
            </w:r>
          </w:p>
        </w:tc>
        <w:tc>
          <w:tcPr/>
          <w:p>
            <w:pPr>
              <w:pStyle w:val="Compact"/>
              <w:jc w:val="left"/>
            </w:pPr>
            <w:r>
              <w:t xml:space="preserve">140,932.50</w:t>
            </w:r>
          </w:p>
        </w:tc>
      </w:tr>
    </w:tbl>
    <w:bookmarkStart w:id="23" w:name="invoice-notes"/>
    <w:p>
      <w:pPr>
        <w:pStyle w:val="Heading4"/>
      </w:pPr>
      <w:r>
        <w:t xml:space="preserve">Invoice Notes</w:t>
      </w:r>
    </w:p>
    <w:p>
      <w:pPr>
        <w:pStyle w:val="FirstParagraph"/>
      </w:pPr>
      <w:r>
        <w:t xml:space="preserve">This Invoice pertains exclusively to Teacher Secondary services rendered during the Spring 2025 academic term within the Turkey Istanbul metropolitan education district. All instructional activities were conducted in compliance with the Ministry of National Education (MEB) regulations governing secondary-level instruction in Turkey.</w:t>
      </w:r>
    </w:p>
    <w:p>
      <w:pPr>
        <w:pStyle w:val="BodyText"/>
      </w:pPr>
      <w:r>
        <w:t xml:space="preserve">The Teacher Secondary program referenced in this Invoice encompasses classroom teaching, curriculum design, laboratory supervision, student evaluation, and professional development activities specifically tailored to secondary education standards in Istanbul, Turkey. All services were delivered by certified Teacher Secondary professionals holding valid MEB teaching licenses.</w:t>
      </w:r>
    </w:p>
    <w:p>
      <w:pPr>
        <w:pStyle w:val="BodyText"/>
      </w:pPr>
      <w:r>
        <w:t xml:space="preserve">Payment for this Invoice is due within thirty (30) calendar days from the date of issue. Late payments shall incur a statutory interest charge in accordance with Turkish commercial law (Türk Ticaret Kanunu, Article 30).</w:t>
      </w:r>
    </w:p>
    <w:p>
      <w:pPr>
        <w:pStyle w:val="BodyText"/>
      </w:pPr>
      <w:r>
        <w:t xml:space="preserve">Bank Transfer Details: Ziraat Bankası A.Ş. – IBAN: TR12 0001 0002 3456 7890 1234 56 – SWIFT: TCZBTR2A – Account Name: Istanbul Education Services Ltd.</w:t>
      </w:r>
    </w:p>
    <w:bookmarkEnd w:id="23"/>
    <w:bookmarkStart w:id="24" w:name="terms-and-conditions"/>
    <w:p>
      <w:pPr>
        <w:pStyle w:val="Heading4"/>
      </w:pPr>
      <w:r>
        <w:t xml:space="preserve">Terms and Conditions</w:t>
      </w:r>
    </w:p>
    <w:p>
      <w:pPr>
        <w:pStyle w:val="FirstParagraph"/>
      </w:pPr>
      <w:r>
        <w:t xml:space="preserve">1. This Invoice is issued in accordance with the Turkish Accounting Law (6102 sayılı Türk Ticaret Kanunu) and the relevant regulations of the Ministry of Finance of the Republic of Turkey.</w:t>
      </w:r>
    </w:p>
    <w:p>
      <w:pPr>
        <w:pStyle w:val="BodyText"/>
      </w:pPr>
      <w:r>
        <w:t xml:space="preserve">2. All Teacher Secondary services described herein were performed at the designated secondary school locations within the Turkey Istanbul jurisdiction as specified in the original service contract dated 01 September 2024.</w:t>
      </w:r>
    </w:p>
    <w:p>
      <w:pPr>
        <w:pStyle w:val="BodyText"/>
      </w:pPr>
      <w:r>
        <w:t xml:space="preserve">3. The VAT rate of 20% applied on this Invoice is consistent with the standard value-added tax rate in force in Turkey as of the date of issue. The 5% withholding tax has been deducted at source as required by Turkish tax legislation for service providers.</w:t>
      </w:r>
    </w:p>
    <w:p>
      <w:pPr>
        <w:pStyle w:val="BodyText"/>
      </w:pPr>
      <w:r>
        <w:t xml:space="preserve">4. Any disputes arising from this Invoice or the underlying Teacher Secondary service agreement shall be subject to the exclusive jurisdiction of the courts of Istanbul, Turkey.</w:t>
      </w:r>
    </w:p>
    <w:p>
      <w:pPr>
        <w:pStyle w:val="BodyText"/>
      </w:pPr>
      <w:r>
        <w:t xml:space="preserve">5. This Invoice must be retained by the recipient for a minimum period of ten (10) years in compliance with Turkish tax record-keeping obligations.</w:t>
      </w:r>
    </w:p>
    <w:p>
      <w:pPr>
        <w:pStyle w:val="BodyText"/>
      </w:pPr>
      <w:r>
        <w:t xml:space="preserve">6. The Teacher Secondary services are non-transferable and non-refundable once the instructional sessions have been delivered. Any cancellation must be communicated in writing at least fourteen (14) days prior to the scheduled session date.</w:t>
      </w:r>
    </w:p>
    <w:bookmarkEnd w:id="24"/>
    <w:p>
      <w:pPr>
        <w:pStyle w:val="BodyText"/>
      </w:pPr>
      <w:r>
        <w:t xml:space="preserve">Thank you for your business. This Invoice was generated electronically and is valid without a physical signature in accordance with Turkish e-invoicing regulations (e-Fatura / e-Arşiv Fatura).</w:t>
      </w:r>
    </w:p>
    <w:p>
      <w:pPr>
        <w:pStyle w:val="BodyText"/>
      </w:pPr>
      <w:r>
        <w:t xml:space="preserve">Istanbul Education Services Ltd. – Teacher Secondary Program Division – Istanbul, Turkey</w:t>
      </w:r>
    </w:p>
    <w:p>
      <w:pPr>
        <w:pStyle w:val="BodyText"/>
      </w:pPr>
      <w:r>
        <w:t xml:space="preserve">Document Reference: TR-IST-2025-04872 | Generated: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Turkey Istanbul</dc:title>
  <dc:creator/>
  <dc:language>en</dc:language>
  <cp:keywords/>
  <dcterms:created xsi:type="dcterms:W3CDTF">2026-10-10T04:08:24Z</dcterms:created>
  <dcterms:modified xsi:type="dcterms:W3CDTF">2026-10-10T04:08:24Z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