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Tashkent,</w:t>
      </w:r>
      <w:r>
        <w:t xml:space="preserve"> </w:t>
      </w:r>
      <w:r>
        <w:t xml:space="preserve">Uzbekistan</w:t>
      </w:r>
    </w:p>
    <w:p>
      <w:pPr>
        <w:pStyle w:val="FirstParagraph"/>
      </w:pPr>
      <w:r>
        <w:t xml:space="preserve">Invoice</w:t>
      </w:r>
    </w:p>
    <w:p>
      <w:pPr>
        <w:pStyle w:val="BodyText"/>
      </w:pPr>
      <w:r>
        <w:t xml:space="preserve">Official Payment Document for Teacher Secondary Services</w:t>
      </w:r>
    </w:p>
    <w:bookmarkStart w:id="20" w:name="invoice-no-tsk-2025-04871"/>
    <w:p>
      <w:pPr>
        <w:pStyle w:val="Heading3"/>
      </w:pPr>
      <w:r>
        <w:t xml:space="preserve">INVOICE NO: TSK-2025-04871</w:t>
      </w:r>
    </w:p>
    <w:p>
      <w:pPr>
        <w:pStyle w:val="FirstParagraph"/>
      </w:pPr>
      <w:r>
        <w:t xml:space="preserve">Invoice Date: 15 June 2025</w:t>
      </w:r>
    </w:p>
    <w:p>
      <w:pPr>
        <w:pStyle w:val="BodyText"/>
      </w:pPr>
      <w:r>
        <w:t xml:space="preserve">Due Date: 30 June 2025</w:t>
      </w:r>
    </w:p>
    <w:p>
      <w:pPr>
        <w:pStyle w:val="BodyText"/>
      </w:pPr>
      <w:r>
        <w:t xml:space="preserve">Payment Period: May 2025</w:t>
      </w:r>
    </w:p>
    <w:p>
      <w:pPr>
        <w:pStyle w:val="BodyText"/>
      </w:pPr>
      <w:r>
        <w:t xml:space="preserve">PENDING PAYMENT</w:t>
      </w:r>
    </w:p>
    <w:bookmarkEnd w:id="20"/>
    <w:bookmarkStart w:id="21" w:name="issued-by-service-provider"/>
    <w:p>
      <w:pPr>
        <w:pStyle w:val="Heading4"/>
      </w:pPr>
      <w:r>
        <w:t xml:space="preserve">Issued By (Service Provider)</w:t>
      </w:r>
    </w:p>
    <w:p>
      <w:pPr>
        <w:pStyle w:val="FirstParagraph"/>
      </w:pPr>
      <w:r>
        <w:rPr>
          <w:bCs/>
          <w:b/>
        </w:rPr>
        <w:t xml:space="preserve">Name:</w:t>
      </w:r>
      <w:r>
        <w:t xml:space="preserve"> </w:t>
      </w:r>
      <w:r>
        <w:t xml:space="preserve">Karimov Dilshod Rashidovich</w:t>
      </w:r>
    </w:p>
    <w:p>
      <w:pPr>
        <w:pStyle w:val="BodyText"/>
      </w:pPr>
      <w:r>
        <w:rPr>
          <w:bCs/>
          <w:b/>
        </w:rPr>
        <w:t xml:space="preserve">Position:</w:t>
      </w:r>
      <w:r>
        <w:t xml:space="preserve"> </w:t>
      </w:r>
      <w:r>
        <w:t xml:space="preserve">Teacher Secondary (Subject: Mathematics &amp; Physics)</w:t>
      </w:r>
    </w:p>
    <w:p>
      <w:pPr>
        <w:pStyle w:val="BodyText"/>
      </w:pPr>
      <w:r>
        <w:rPr>
          <w:bCs/>
          <w:b/>
        </w:rPr>
        <w:t xml:space="preserve">Institution:</w:t>
      </w:r>
      <w:r>
        <w:t xml:space="preserve"> </w:t>
      </w:r>
      <w:r>
        <w:t xml:space="preserve">Tashkent City Secondary School No. 142</w:t>
      </w:r>
    </w:p>
    <w:p>
      <w:pPr>
        <w:pStyle w:val="BodyText"/>
      </w:pPr>
      <w:r>
        <w:rPr>
          <w:bCs/>
          <w:b/>
        </w:rPr>
        <w:t xml:space="preserve">Address:</w:t>
      </w:r>
      <w:r>
        <w:t xml:space="preserve"> </w:t>
      </w:r>
      <w:r>
        <w:t xml:space="preserve">45 Amir Temur Avenue, Yakkasaroy District, Tashkent, Uzbekistan</w:t>
      </w:r>
    </w:p>
    <w:p>
      <w:pPr>
        <w:pStyle w:val="BodyText"/>
      </w:pPr>
      <w:r>
        <w:rPr>
          <w:bCs/>
          <w:b/>
        </w:rPr>
        <w:t xml:space="preserve">Phone:</w:t>
      </w:r>
      <w:r>
        <w:t xml:space="preserve"> </w:t>
      </w:r>
      <w:r>
        <w:t xml:space="preserve">+998 (71) 234-56-78</w:t>
      </w:r>
    </w:p>
    <w:p>
      <w:pPr>
        <w:pStyle w:val="BodyText"/>
      </w:pPr>
      <w:r>
        <w:rPr>
          <w:bCs/>
          <w:b/>
        </w:rPr>
        <w:t xml:space="preserve">Email:</w:t>
      </w:r>
      <w:r>
        <w:t xml:space="preserve"> </w:t>
      </w:r>
      <w:r>
        <w:t xml:space="preserve">d.karimov@tashkent-edu.uz</w:t>
      </w:r>
    </w:p>
    <w:p>
      <w:pPr>
        <w:pStyle w:val="BodyText"/>
      </w:pPr>
      <w:r>
        <w:rPr>
          <w:bCs/>
          <w:b/>
        </w:rPr>
        <w:t xml:space="preserve">Personal Tax ID (Shaxsiy ID):</w:t>
      </w:r>
      <w:r>
        <w:t xml:space="preserve"> </w:t>
      </w:r>
      <w:r>
        <w:t xml:space="preserve">880512-123456</w:t>
      </w:r>
    </w:p>
    <w:bookmarkEnd w:id="21"/>
    <w:bookmarkStart w:id="22" w:name="issued-to-client-payer"/>
    <w:p>
      <w:pPr>
        <w:pStyle w:val="Heading4"/>
      </w:pPr>
      <w:r>
        <w:t xml:space="preserve">Issued To (Client / Payer)</w:t>
      </w:r>
    </w:p>
    <w:p>
      <w:pPr>
        <w:pStyle w:val="FirstParagraph"/>
      </w:pPr>
      <w:r>
        <w:rPr>
          <w:bCs/>
          <w:b/>
        </w:rPr>
        <w:t xml:space="preserve">Organization:</w:t>
      </w:r>
      <w:r>
        <w:t xml:space="preserve"> </w:t>
      </w:r>
      <w:r>
        <w:t xml:space="preserve">Tashkent City Department of Education</w:t>
      </w:r>
    </w:p>
    <w:p>
      <w:pPr>
        <w:pStyle w:val="BodyText"/>
      </w:pPr>
      <w:r>
        <w:rPr>
          <w:bCs/>
          <w:b/>
        </w:rPr>
        <w:t xml:space="preserve">Department:</w:t>
      </w:r>
      <w:r>
        <w:t xml:space="preserve"> </w:t>
      </w:r>
      <w:r>
        <w:t xml:space="preserve">Secondary Education Division, Uzbekistan</w:t>
      </w:r>
    </w:p>
    <w:p>
      <w:pPr>
        <w:pStyle w:val="BodyText"/>
      </w:pPr>
      <w:r>
        <w:rPr>
          <w:bCs/>
          <w:b/>
        </w:rPr>
        <w:t xml:space="preserve">Address:</w:t>
      </w:r>
      <w:r>
        <w:t xml:space="preserve"> </w:t>
      </w:r>
      <w:r>
        <w:t xml:space="preserve">12 Navoi Street, Chilonzor District, Tashkent, Uzbekistan</w:t>
      </w:r>
    </w:p>
    <w:p>
      <w:pPr>
        <w:pStyle w:val="BodyText"/>
      </w:pPr>
      <w:r>
        <w:rPr>
          <w:bCs/>
          <w:b/>
        </w:rPr>
        <w:t xml:space="preserve">Phone:</w:t>
      </w:r>
      <w:r>
        <w:t xml:space="preserve"> </w:t>
      </w:r>
      <w:r>
        <w:t xml:space="preserve">+998 (71) 200-11-22</w:t>
      </w:r>
    </w:p>
    <w:p>
      <w:pPr>
        <w:pStyle w:val="BodyText"/>
      </w:pPr>
      <w:r>
        <w:rPr>
          <w:bCs/>
          <w:b/>
        </w:rPr>
        <w:t xml:space="preserve">Email:</w:t>
      </w:r>
      <w:r>
        <w:t xml:space="preserve"> </w:t>
      </w:r>
      <w:r>
        <w:t xml:space="preserve">secondary.division@edu.tashkent.uz</w:t>
      </w:r>
    </w:p>
    <w:p>
      <w:pPr>
        <w:pStyle w:val="BodyText"/>
      </w:pPr>
      <w:r>
        <w:rPr>
          <w:bCs/>
          <w:b/>
        </w:rPr>
        <w:t xml:space="preserve">Bank:</w:t>
      </w:r>
      <w:r>
        <w:t xml:space="preserve"> </w:t>
      </w:r>
      <w:r>
        <w:t xml:space="preserve">Asaka Bank, Tashkent Branch</w:t>
      </w:r>
    </w:p>
    <w:p>
      <w:pPr>
        <w:pStyle w:val="BodyText"/>
      </w:pPr>
      <w:r>
        <w:rPr>
          <w:bCs/>
          <w:b/>
        </w:rPr>
        <w:t xml:space="preserve">Account No:</w:t>
      </w:r>
      <w:r>
        <w:t xml:space="preserve"> </w:t>
      </w:r>
      <w:r>
        <w:t xml:space="preserve">UZ01 ASAK 9999 1234 5678 9012</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Subject / Area</w:t>
            </w:r>
          </w:p>
        </w:tc>
        <w:tc>
          <w:tcPr/>
          <w:p>
            <w:pPr>
              <w:pStyle w:val="Compact"/>
              <w:jc w:val="left"/>
            </w:pPr>
            <w:r>
              <w:t xml:space="preserve">Hours</w:t>
            </w:r>
          </w:p>
        </w:tc>
        <w:tc>
          <w:tcPr/>
          <w:p>
            <w:pPr>
              <w:pStyle w:val="Compact"/>
              <w:jc w:val="left"/>
            </w:pPr>
            <w:r>
              <w:t xml:space="preserve">Rate (UZS)</w:t>
            </w:r>
          </w:p>
        </w:tc>
        <w:tc>
          <w:tcPr/>
          <w:p>
            <w:pPr>
              <w:pStyle w:val="Compact"/>
              <w:jc w:val="left"/>
            </w:pPr>
            <w:r>
              <w:t xml:space="preserve">Amount (UZS)</w:t>
            </w:r>
          </w:p>
        </w:tc>
      </w:tr>
      <w:tr>
        <w:tc>
          <w:tcPr/>
          <w:p>
            <w:pPr>
              <w:pStyle w:val="Compact"/>
              <w:jc w:val="left"/>
            </w:pPr>
            <w:r>
              <w:t xml:space="preserve">1</w:t>
            </w:r>
          </w:p>
        </w:tc>
        <w:tc>
          <w:tcPr/>
          <w:p>
            <w:pPr>
              <w:pStyle w:val="Compact"/>
              <w:jc w:val="left"/>
            </w:pPr>
            <w:r>
              <w:t xml:space="preserve">Teacher Secondary instruction – Mathematics, Grade 9 (Classes 9-A, 9-B, 9-C)</w:t>
            </w:r>
          </w:p>
        </w:tc>
        <w:tc>
          <w:tcPr/>
          <w:p>
            <w:pPr>
              <w:pStyle w:val="Compact"/>
              <w:jc w:val="left"/>
            </w:pPr>
            <w:r>
              <w:t xml:space="preserve">Mathematics</w:t>
            </w:r>
          </w:p>
        </w:tc>
        <w:tc>
          <w:tcPr/>
          <w:p>
            <w:pPr>
              <w:pStyle w:val="Compact"/>
              <w:jc w:val="left"/>
            </w:pPr>
            <w:r>
              <w:t xml:space="preserve">120</w:t>
            </w:r>
          </w:p>
        </w:tc>
        <w:tc>
          <w:tcPr/>
          <w:p>
            <w:pPr>
              <w:pStyle w:val="Compact"/>
              <w:jc w:val="left"/>
            </w:pPr>
            <w:r>
              <w:t xml:space="preserve">150,000</w:t>
            </w:r>
          </w:p>
        </w:tc>
        <w:tc>
          <w:tcPr/>
          <w:p>
            <w:pPr>
              <w:pStyle w:val="Compact"/>
              <w:jc w:val="left"/>
            </w:pPr>
            <w:r>
              <w:t xml:space="preserve">18,000,000</w:t>
            </w:r>
          </w:p>
        </w:tc>
      </w:tr>
      <w:tr>
        <w:tc>
          <w:tcPr/>
          <w:p>
            <w:pPr>
              <w:pStyle w:val="Compact"/>
              <w:jc w:val="left"/>
            </w:pPr>
            <w:r>
              <w:t xml:space="preserve">2</w:t>
            </w:r>
          </w:p>
        </w:tc>
        <w:tc>
          <w:tcPr/>
          <w:p>
            <w:pPr>
              <w:pStyle w:val="Compact"/>
              <w:jc w:val="left"/>
            </w:pPr>
            <w:r>
              <w:t xml:space="preserve">Teacher Secondary instruction – Physics, Grade 10 (Classes 10-A, 10-B)</w:t>
            </w:r>
          </w:p>
        </w:tc>
        <w:tc>
          <w:tcPr/>
          <w:p>
            <w:pPr>
              <w:pStyle w:val="Compact"/>
              <w:jc w:val="left"/>
            </w:pPr>
            <w:r>
              <w:t xml:space="preserve">Physics</w:t>
            </w:r>
          </w:p>
        </w:tc>
        <w:tc>
          <w:tcPr/>
          <w:p>
            <w:pPr>
              <w:pStyle w:val="Compact"/>
              <w:jc w:val="left"/>
            </w:pPr>
            <w:r>
              <w:t xml:space="preserve">96</w:t>
            </w:r>
          </w:p>
        </w:tc>
        <w:tc>
          <w:tcPr/>
          <w:p>
            <w:pPr>
              <w:pStyle w:val="Compact"/>
              <w:jc w:val="left"/>
            </w:pPr>
            <w:r>
              <w:t xml:space="preserve">165,000</w:t>
            </w:r>
          </w:p>
        </w:tc>
        <w:tc>
          <w:tcPr/>
          <w:p>
            <w:pPr>
              <w:pStyle w:val="Compact"/>
              <w:jc w:val="left"/>
            </w:pPr>
            <w:r>
              <w:t xml:space="preserve">15,840,000</w:t>
            </w:r>
          </w:p>
        </w:tc>
      </w:tr>
      <w:tr>
        <w:tc>
          <w:tcPr/>
          <w:p>
            <w:pPr>
              <w:pStyle w:val="Compact"/>
              <w:jc w:val="left"/>
            </w:pPr>
            <w:r>
              <w:t xml:space="preserve">3</w:t>
            </w:r>
          </w:p>
        </w:tc>
        <w:tc>
          <w:tcPr/>
          <w:p>
            <w:pPr>
              <w:pStyle w:val="Compact"/>
              <w:jc w:val="left"/>
            </w:pPr>
            <w:r>
              <w:t xml:space="preserve">Teacher Secondary – Preparation and administration of monthly examinations and assessments</w:t>
            </w:r>
          </w:p>
        </w:tc>
        <w:tc>
          <w:tcPr/>
          <w:p>
            <w:pPr>
              <w:pStyle w:val="Compact"/>
              <w:jc w:val="left"/>
            </w:pPr>
            <w:r>
              <w:t xml:space="preserve">Assessment</w:t>
            </w:r>
          </w:p>
        </w:tc>
        <w:tc>
          <w:tcPr/>
          <w:p>
            <w:pPr>
              <w:pStyle w:val="Compact"/>
              <w:jc w:val="left"/>
            </w:pPr>
            <w:r>
              <w:t xml:space="preserve">24</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4</w:t>
            </w:r>
          </w:p>
        </w:tc>
        <w:tc>
          <w:tcPr/>
          <w:p>
            <w:pPr>
              <w:pStyle w:val="Compact"/>
              <w:jc w:val="left"/>
            </w:pPr>
            <w:r>
              <w:t xml:space="preserve">Teacher Secondary – Extracurricular tutoring sessions for students preparing for the Oliy Attestatsion Imtihon (OAI) in Tashkent</w:t>
            </w:r>
          </w:p>
        </w:tc>
        <w:tc>
          <w:tcPr/>
          <w:p>
            <w:pPr>
              <w:pStyle w:val="Compact"/>
              <w:jc w:val="left"/>
            </w:pPr>
            <w:r>
              <w:t xml:space="preserve">Tutoring</w:t>
            </w:r>
          </w:p>
        </w:tc>
        <w:tc>
          <w:tcPr/>
          <w:p>
            <w:pPr>
              <w:pStyle w:val="Compact"/>
              <w:jc w:val="left"/>
            </w:pPr>
            <w:r>
              <w:t xml:space="preserve">40</w:t>
            </w:r>
          </w:p>
        </w:tc>
        <w:tc>
          <w:tcPr/>
          <w:p>
            <w:pPr>
              <w:pStyle w:val="Compact"/>
              <w:jc w:val="left"/>
            </w:pPr>
            <w:r>
              <w:t xml:space="preserve">180,000</w:t>
            </w:r>
          </w:p>
        </w:tc>
        <w:tc>
          <w:tcPr/>
          <w:p>
            <w:pPr>
              <w:pStyle w:val="Compact"/>
              <w:jc w:val="left"/>
            </w:pPr>
            <w:r>
              <w:t xml:space="preserve">7,200,000</w:t>
            </w:r>
          </w:p>
        </w:tc>
      </w:tr>
      <w:tr>
        <w:tc>
          <w:tcPr/>
          <w:p>
            <w:pPr>
              <w:pStyle w:val="Compact"/>
              <w:jc w:val="left"/>
            </w:pPr>
            <w:r>
              <w:t xml:space="preserve">5</w:t>
            </w:r>
          </w:p>
        </w:tc>
        <w:tc>
          <w:tcPr/>
          <w:p>
            <w:pPr>
              <w:pStyle w:val="Compact"/>
              <w:jc w:val="left"/>
            </w:pPr>
            <w:r>
              <w:t xml:space="preserve">Teacher Secondary – Participation in the Tashkent City Secondary Teachers Professional Development Workshop (Uzbekistan Ministry of Education program)</w:t>
            </w:r>
          </w:p>
        </w:tc>
        <w:tc>
          <w:tcPr/>
          <w:p>
            <w:pPr>
              <w:pStyle w:val="Compact"/>
              <w:jc w:val="left"/>
            </w:pPr>
            <w:r>
              <w:t xml:space="preserve">Training</w:t>
            </w:r>
          </w:p>
        </w:tc>
        <w:tc>
          <w:tcPr/>
          <w:p>
            <w:pPr>
              <w:pStyle w:val="Compact"/>
              <w:jc w:val="left"/>
            </w:pPr>
            <w:r>
              <w:t xml:space="preserve">16</w:t>
            </w:r>
          </w:p>
        </w:tc>
        <w:tc>
          <w:tcPr/>
          <w:p>
            <w:pPr>
              <w:pStyle w:val="Compact"/>
              <w:jc w:val="left"/>
            </w:pPr>
            <w:r>
              <w:t xml:space="preserve">100,000</w:t>
            </w:r>
          </w:p>
        </w:tc>
        <w:tc>
          <w:tcPr/>
          <w:p>
            <w:pPr>
              <w:pStyle w:val="Compact"/>
              <w:jc w:val="left"/>
            </w:pPr>
            <w:r>
              <w:t xml:space="preserve">1,600,000</w:t>
            </w:r>
          </w:p>
        </w:tc>
      </w:tr>
      <w:tr>
        <w:tc>
          <w:tcPr/>
          <w:p>
            <w:pPr>
              <w:pStyle w:val="Compact"/>
              <w:jc w:val="left"/>
            </w:pPr>
            <w:r>
              <w:t xml:space="preserve">6</w:t>
            </w:r>
          </w:p>
        </w:tc>
        <w:tc>
          <w:tcPr/>
          <w:p>
            <w:pPr>
              <w:pStyle w:val="Compact"/>
              <w:jc w:val="left"/>
            </w:pPr>
            <w:r>
              <w:t xml:space="preserve">Teacher Secondary – Supervision and mentoring of two newly appointed secondary school teachers at Tashkent Secondary School No. 142</w:t>
            </w:r>
          </w:p>
        </w:tc>
        <w:tc>
          <w:tcPr/>
          <w:p>
            <w:pPr>
              <w:pStyle w:val="Compact"/>
              <w:jc w:val="left"/>
            </w:pPr>
            <w:r>
              <w:t xml:space="preserve">Mentoring</w:t>
            </w:r>
          </w:p>
        </w:tc>
        <w:tc>
          <w:tcPr/>
          <w:p>
            <w:pPr>
              <w:pStyle w:val="Compact"/>
              <w:jc w:val="left"/>
            </w:pPr>
            <w:r>
              <w:t xml:space="preserve">32</w:t>
            </w:r>
          </w:p>
        </w:tc>
        <w:tc>
          <w:tcPr/>
          <w:p>
            <w:pPr>
              <w:pStyle w:val="Compact"/>
              <w:jc w:val="left"/>
            </w:pPr>
            <w:r>
              <w:t xml:space="preserve">140,000</w:t>
            </w:r>
          </w:p>
        </w:tc>
        <w:tc>
          <w:tcPr/>
          <w:p>
            <w:pPr>
              <w:pStyle w:val="Compact"/>
              <w:jc w:val="left"/>
            </w:pPr>
            <w:r>
              <w:t xml:space="preserve">4,480,000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(UZS)</w:t>
            </w:r>
          </w:p>
        </w:tc>
        <w:tc>
          <w:tcPr/>
          <w:p>
            <w:pPr>
              <w:pStyle w:val="Compact"/>
              <w:jc w:val="right"/>
            </w:pPr>
            <w:r>
              <w:t xml:space="preserve">49,900,000</w:t>
            </w:r>
          </w:p>
        </w:tc>
      </w:tr>
      <w:tr>
        <w:tc>
          <w:tcPr/>
          <w:p>
            <w:pPr>
              <w:pStyle w:val="Compact"/>
              <w:jc w:val="left"/>
            </w:pPr>
            <w:r>
              <w:t xml:space="preserve">VAT (12% – Uzbekistan standard rate)</w:t>
            </w:r>
          </w:p>
        </w:tc>
        <w:tc>
          <w:tcPr/>
          <w:p>
            <w:pPr>
              <w:pStyle w:val="Compact"/>
              <w:jc w:val="right"/>
            </w:pPr>
            <w:r>
              <w:t xml:space="preserve">5,988,000</w:t>
            </w:r>
          </w:p>
        </w:tc>
      </w:tr>
      <w:tr>
        <w:tc>
          <w:tcPr/>
          <w:p>
            <w:pPr>
              <w:pStyle w:val="Compact"/>
              <w:jc w:val="left"/>
            </w:pPr>
            <w:r>
              <w:t xml:space="preserve">Personal Income Tax Deduction (12%)</w:t>
            </w:r>
          </w:p>
        </w:tc>
        <w:tc>
          <w:tcPr/>
          <w:p>
            <w:pPr>
              <w:pStyle w:val="Compact"/>
              <w:jc w:val="right"/>
            </w:pPr>
            <w:r>
              <w:t xml:space="preserve">(5,988,000)</w:t>
            </w:r>
          </w:p>
        </w:tc>
      </w:tr>
      <w:tr>
        <w:tc>
          <w:tcPr/>
          <w:p>
            <w:pPr>
              <w:pStyle w:val="Compact"/>
              <w:jc w:val="left"/>
            </w:pPr>
            <w:r>
              <w:t xml:space="preserve">Net Payable Amount (UZS)</w:t>
            </w:r>
          </w:p>
        </w:tc>
        <w:tc>
          <w:tcPr/>
          <w:p>
            <w:pPr>
              <w:pStyle w:val="Compact"/>
              <w:jc w:val="right"/>
            </w:pPr>
            <w:r>
              <w:t xml:space="preserve">49,900,000</w:t>
            </w:r>
          </w:p>
        </w:tc>
      </w:tr>
      <w:tr>
        <w:tc>
          <w:tcPr/>
          <w:p>
            <w:pPr>
              <w:pStyle w:val="Compact"/>
              <w:jc w:val="left"/>
            </w:pPr>
            <w:r>
              <w:t xml:space="preserve">GRAND TOTAL DUE (UZS)</w:t>
            </w:r>
          </w:p>
        </w:tc>
        <w:tc>
          <w:tcPr/>
          <w:p>
            <w:pPr>
              <w:pStyle w:val="Compact"/>
              <w:jc w:val="right"/>
            </w:pPr>
            <w:r>
              <w:t xml:space="preserve">49,900,000</w:t>
            </w:r>
          </w:p>
        </w:tc>
      </w:tr>
      <w:tr>
        <w:tc>
          <w:tcPr/>
          <w:p>
            <w:pPr>
              <w:pStyle w:val="Compact"/>
              <w:jc w:val="left"/>
            </w:pPr>
            <w:r>
              <w:t xml:space="preserve">Approx. USD equivalent</w:t>
            </w:r>
          </w:p>
        </w:tc>
        <w:tc>
          <w:tcPr/>
          <w:p>
            <w:pPr>
              <w:pStyle w:val="Compact"/>
              <w:jc w:val="right"/>
            </w:pPr>
            <w:r>
              <w:t xml:space="preserve">≈ $4,158.33</w:t>
            </w:r>
          </w:p>
        </w:tc>
      </w:tr>
    </w:tbl>
    <w:bookmarkStart w:id="23" w:name="payment-terms-important-notes"/>
    <w:p>
      <w:pPr>
        <w:pStyle w:val="Heading4"/>
      </w:pPr>
      <w:r>
        <w:t xml:space="preserve">Payment Terms &amp; Important Notes</w:t>
      </w:r>
    </w:p>
    <w:p>
      <w:pPr>
        <w:pStyle w:val="FirstParagraph"/>
      </w:pPr>
      <w:r>
        <w:rPr>
          <w:bCs/>
          <w:b/>
        </w:rPr>
        <w:t xml:space="preserve">1.</w:t>
      </w:r>
      <w:r>
        <w:t xml:space="preserve"> </w:t>
      </w:r>
      <w:r>
        <w:t xml:space="preserve">This Invoice is issued in accordance with the Labor Code of the Republic of Uzbekistan and the regulations governing Teacher Secondary compensation as established by the Tashkent City Department of Education. All services rendered are for the month of May 2025.</w:t>
      </w:r>
    </w:p>
    <w:p>
      <w:pPr>
        <w:pStyle w:val="BodyText"/>
      </w:pPr>
      <w:r>
        <w:rPr>
          <w:bCs/>
          <w:b/>
        </w:rPr>
        <w:t xml:space="preserve">2.</w:t>
      </w:r>
      <w:r>
        <w:t xml:space="preserve"> </w:t>
      </w:r>
      <w:r>
        <w:t xml:space="preserve">Payment for this Invoice must be remitted via bank transfer to the account specified above no later than 30 June 2025. Late payments will incur a penalty of 0.5% per calendar day as per Uzbekistan commercial law.</w:t>
      </w:r>
    </w:p>
    <w:p>
      <w:pPr>
        <w:pStyle w:val="BodyText"/>
      </w:pPr>
      <w:r>
        <w:rPr>
          <w:bCs/>
          <w:b/>
        </w:rPr>
        <w:t xml:space="preserve">3.</w:t>
      </w:r>
      <w:r>
        <w:t xml:space="preserve"> </w:t>
      </w:r>
      <w:r>
        <w:t xml:space="preserve">The Teacher Secondary services listed in this Invoice include classroom instruction, examination preparation, extracurricular tutoring, professional development participation, and mentoring duties performed at Tashkent City Secondary School No. 142, located in the Yakkasaroy District of Tashkent, Uzbekistan.</w:t>
      </w:r>
    </w:p>
    <w:p>
      <w:pPr>
        <w:pStyle w:val="BodyText"/>
      </w:pPr>
      <w:r>
        <w:rPr>
          <w:bCs/>
          <w:b/>
        </w:rPr>
        <w:t xml:space="preserve">4.</w:t>
      </w:r>
      <w:r>
        <w:t xml:space="preserve"> </w:t>
      </w:r>
      <w:r>
        <w:t xml:space="preserve">All rates quoted are in Uzbek Som (UZS) and are subject to annual adjustment by the Tashkent City Department of Education in line with the minimum wage directives issued by the Cabinet of Ministers of the Republic of Uzbekistan.</w:t>
      </w:r>
    </w:p>
    <w:p>
      <w:pPr>
        <w:pStyle w:val="BodyText"/>
      </w:pPr>
      <w:r>
        <w:rPr>
          <w:bCs/>
          <w:b/>
        </w:rPr>
        <w:t xml:space="preserve">5.</w:t>
      </w:r>
      <w:r>
        <w:t xml:space="preserve"> </w:t>
      </w:r>
      <w:r>
        <w:t xml:space="preserve">This Invoice must be presented to the accounting office of the Tashkent City Department of Education, Secondary Education Division, along with the signed attendance register and the monthly performance evaluation form for the Teacher Secondary.</w:t>
      </w:r>
    </w:p>
    <w:p>
      <w:pPr>
        <w:pStyle w:val="BodyText"/>
      </w:pPr>
      <w:r>
        <w:rPr>
          <w:bCs/>
          <w:b/>
        </w:rPr>
        <w:t xml:space="preserve">6.</w:t>
      </w:r>
      <w:r>
        <w:t xml:space="preserve"> </w:t>
      </w:r>
      <w:r>
        <w:t xml:space="preserve">In the event of any discrepancy or dispute regarding the services listed in this Invoice, both parties agree to resolve the matter through the Tashkent City Education Arbitration Panel within thirty (30) business days.</w:t>
      </w:r>
    </w:p>
    <w:p>
      <w:pPr>
        <w:pStyle w:val="BodyText"/>
      </w:pPr>
      <w:r>
        <w:rPr>
          <w:bCs/>
          <w:b/>
        </w:rPr>
        <w:t xml:space="preserve">7.</w:t>
      </w:r>
      <w:r>
        <w:t xml:space="preserve"> </w:t>
      </w:r>
      <w:r>
        <w:t xml:space="preserve">This document constitutes a legally binding financial record for the Teacher Secondary employment relationship in Tashkent, Uzbekistan, for the specified payment period.</w:t>
      </w:r>
    </w:p>
    <w:bookmarkEnd w:id="23"/>
    <w:p>
      <w:pPr>
        <w:pStyle w:val="BodyText"/>
      </w:pPr>
      <w:r>
        <w:rPr>
          <w:bCs/>
          <w:b/>
        </w:rPr>
        <w:t xml:space="preserve">Authorized Signature:</w:t>
      </w:r>
      <w:r>
        <w:t xml:space="preserve"> </w:t>
      </w:r>
      <w:r>
        <w:t xml:space="preserve">___________________________    </w:t>
      </w:r>
      <w:r>
        <w:t xml:space="preserve"> </w:t>
      </w:r>
      <w:r>
        <w:rPr>
          <w:bCs/>
          <w:b/>
        </w:rPr>
        <w:t xml:space="preserve">Date:</w:t>
      </w:r>
      <w:r>
        <w:t xml:space="preserve"> </w:t>
      </w:r>
      <w:r>
        <w:t xml:space="preserve">15 June 2025</w:t>
      </w:r>
    </w:p>
    <w:p>
      <w:pPr>
        <w:pStyle w:val="BodyText"/>
      </w:pPr>
      <w:r>
        <w:t xml:space="preserve">Karimov Dilshod Rashidovich – Teacher Secondary, Tashkent City Secondary School No. 142</w:t>
      </w:r>
    </w:p>
    <w:p>
      <w:pPr>
        <w:pStyle w:val="BodyText"/>
      </w:pPr>
      <w:r>
        <w:t xml:space="preserve">This Invoice was generated in Tashkent, Uzbekistan. For official use by the Tashkent City Department of Education, Secondary Education Division.</w:t>
      </w:r>
    </w:p>
    <w:p>
      <w:pPr>
        <w:pStyle w:val="BodyText"/>
      </w:pPr>
      <w:r>
        <w:t xml:space="preserve">Document Reference: TSK-2025-04871 | Page 1 of 1 | Teacher Secondary Compensation Invoice – Uzbekistan Tashkent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 Tashkent, Uzbekistan</dc:title>
  <dc:creator/>
  <dc:language>en</dc:language>
  <cp:keywords/>
  <dcterms:created xsi:type="dcterms:W3CDTF">2026-10-10T01:23:04Z</dcterms:created>
  <dcterms:modified xsi:type="dcterms:W3CDTF">2026-10-10T01:23:04Z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