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stituto-educativo-caracas-sur"/>
    <w:p>
      <w:pPr>
        <w:pStyle w:val="Heading1"/>
      </w:pPr>
      <w:r>
        <w:t xml:space="preserve">Instituto Educativo Caracas Sur</w:t>
      </w:r>
    </w:p>
    <w:p>
      <w:pPr>
        <w:pStyle w:val="FirstParagraph"/>
      </w:pPr>
      <w:r>
        <w:t xml:space="preserve">Av. Francisco de Miranda, Torre B, Piso 4</w:t>
      </w:r>
    </w:p>
    <w:p>
      <w:pPr>
        <w:pStyle w:val="BodyText"/>
      </w:pPr>
      <w:r>
        <w:t xml:space="preserve">Chacao, Caracas 1060, Venezuela</w:t>
      </w:r>
    </w:p>
    <w:p>
      <w:pPr>
        <w:pStyle w:val="BodyText"/>
      </w:pPr>
      <w:r>
        <w:t xml:space="preserve">Tel: +58 (212) 555-0147 | Email: finanzas@iecs.edu.ve</w:t>
      </w:r>
    </w:p>
    <w:p>
      <w:pPr>
        <w:pStyle w:val="BodyText"/>
      </w:pPr>
      <w:r>
        <w:t xml:space="preserve">RIF: J-40285716-3</w:t>
      </w:r>
    </w:p>
    <w:p>
      <w:pPr>
        <w:pStyle w:val="BodyText"/>
      </w:pPr>
      <w:r>
        <w:t xml:space="preserve">Teacher Secondary Division</w:t>
      </w:r>
    </w:p>
    <w:bookmarkEnd w:id="20"/>
    <w:bookmarkStart w:id="21" w:name="invoice"/>
    <w:p>
      <w:pPr>
        <w:pStyle w:val="Heading2"/>
      </w:pPr>
      <w:r>
        <w:t xml:space="preserve">INVOICE</w:t>
      </w:r>
    </w:p>
    <w:p>
      <w:pPr>
        <w:pStyle w:val="FirstParagraph"/>
      </w:pPr>
      <w:r>
        <w:t xml:space="preserve">Invoice No.: IEC-2025-04872</w:t>
      </w:r>
    </w:p>
    <w:p>
      <w:pPr>
        <w:pStyle w:val="BodyText"/>
      </w:pPr>
      <w:r>
        <w:t xml:space="preserve">Date of Issue: June 15, 2025</w:t>
      </w:r>
    </w:p>
    <w:p>
      <w:pPr>
        <w:pStyle w:val="BodyText"/>
      </w:pPr>
      <w:r>
        <w:t xml:space="preserve">Due Date: July 15, 2025</w:t>
      </w:r>
    </w:p>
    <w:p>
      <w:pPr>
        <w:pStyle w:val="BodyText"/>
      </w:pPr>
      <w:r>
        <w:t xml:space="preserve">Period: May 1 – May 31, 2025</w:t>
      </w:r>
    </w:p>
    <w:bookmarkEnd w:id="21"/>
    <w:bookmarkStart w:id="22" w:name="bill-to"/>
    <w:p>
      <w:pPr>
        <w:pStyle w:val="Heading3"/>
      </w:pPr>
      <w:r>
        <w:t xml:space="preserve">Bill To</w:t>
      </w:r>
    </w:p>
    <w:p>
      <w:pPr>
        <w:pStyle w:val="FirstParagraph"/>
      </w:pPr>
      <w:r>
        <w:rPr>
          <w:bCs/>
          <w:b/>
        </w:rPr>
        <w:t xml:space="preserve">Ministerio del Poder Popular para la Educación</w:t>
      </w:r>
    </w:p>
    <w:p>
      <w:pPr>
        <w:pStyle w:val="BodyText"/>
      </w:pPr>
      <w:r>
        <w:t xml:space="preserve">Oficina de Presupuesto y Finanzas</w:t>
      </w:r>
    </w:p>
    <w:p>
      <w:pPr>
        <w:pStyle w:val="BodyText"/>
      </w:pPr>
      <w:r>
        <w:t xml:space="preserve">Av. Panteón, Edificio Sede, Caracas 1080</w:t>
      </w:r>
    </w:p>
    <w:p>
      <w:pPr>
        <w:pStyle w:val="BodyText"/>
      </w:pPr>
      <w:r>
        <w:t xml:space="preserve">Venezuela</w:t>
      </w:r>
    </w:p>
    <w:p>
      <w:pPr>
        <w:pStyle w:val="BodyText"/>
      </w:pPr>
      <w:r>
        <w:t xml:space="preserve">Attn: Lic. María Fernanda Rodríguez</w:t>
      </w:r>
    </w:p>
    <w:bookmarkEnd w:id="22"/>
    <w:bookmarkStart w:id="23" w:name="service-provider"/>
    <w:p>
      <w:pPr>
        <w:pStyle w:val="Heading3"/>
      </w:pPr>
      <w:r>
        <w:t xml:space="preserve">Service Provider</w:t>
      </w:r>
    </w:p>
    <w:p>
      <w:pPr>
        <w:pStyle w:val="FirstParagraph"/>
      </w:pPr>
      <w:r>
        <w:rPr>
          <w:bCs/>
          <w:b/>
        </w:rPr>
        <w:t xml:space="preserve">Prof. Alejandro Cárdenas Gutiérrez</w:t>
      </w:r>
    </w:p>
    <w:p>
      <w:pPr>
        <w:pStyle w:val="BodyText"/>
      </w:pPr>
      <w:r>
        <w:t xml:space="preserve">Teacher Secondary – Mathematics &amp; Physics</w:t>
      </w:r>
    </w:p>
    <w:p>
      <w:pPr>
        <w:pStyle w:val="BodyText"/>
      </w:pPr>
      <w:r>
        <w:t xml:space="preserve">Cédula de Identidad: V-14.872.335</w:t>
      </w:r>
    </w:p>
    <w:p>
      <w:pPr>
        <w:pStyle w:val="BodyText"/>
      </w:pPr>
      <w:r>
        <w:t xml:space="preserve">Caracas, Venezuela</w:t>
      </w:r>
    </w:p>
    <w:p>
      <w:pPr>
        <w:pStyle w:val="BodyText"/>
      </w:pPr>
      <w:r>
        <w:t xml:space="preserve">Professional License: MPPE-2019-4471</w:t>
      </w:r>
    </w:p>
    <w:bookmarkEnd w:id="23"/>
    <w:bookmarkStart w:id="24" w:name="invoice-details"/>
    <w:p>
      <w:pPr>
        <w:pStyle w:val="Heading3"/>
      </w:pPr>
      <w:r>
        <w:t xml:space="preserve">Invoice Details</w:t>
      </w:r>
    </w:p>
    <w:p>
      <w:pPr>
        <w:pStyle w:val="FirstParagraph"/>
      </w:pPr>
      <w:r>
        <w:rPr>
          <w:bCs/>
          <w:b/>
        </w:rPr>
        <w:t xml:space="preserve">Category:</w:t>
      </w:r>
      <w:r>
        <w:t xml:space="preserve"> </w:t>
      </w:r>
      <w:r>
        <w:t xml:space="preserve">Teacher Secondary Services</w:t>
      </w:r>
    </w:p>
    <w:p>
      <w:pPr>
        <w:pStyle w:val="BodyText"/>
      </w:pPr>
      <w:r>
        <w:rPr>
          <w:bCs/>
          <w:b/>
        </w:rPr>
        <w:t xml:space="preserve">Location:</w:t>
      </w:r>
      <w:r>
        <w:t xml:space="preserve"> </w:t>
      </w:r>
      <w:r>
        <w:t xml:space="preserve">Venezuela Caracas</w:t>
      </w:r>
    </w:p>
    <w:p>
      <w:pPr>
        <w:pStyle w:val="BodyText"/>
      </w:pPr>
      <w:r>
        <w:rPr>
          <w:bCs/>
          <w:b/>
        </w:rPr>
        <w:t xml:space="preserve">Currency:</w:t>
      </w:r>
      <w:r>
        <w:t xml:space="preserve"> </w:t>
      </w:r>
      <w:r>
        <w:t xml:space="preserve">USD (US Dollars)</w:t>
      </w:r>
    </w:p>
    <w:p>
      <w:pPr>
        <w:pStyle w:val="BodyText"/>
      </w:pPr>
      <w:r>
        <w:rPr>
          <w:bCs/>
          <w:b/>
        </w:rPr>
        <w:t xml:space="preserve">Reference:</w:t>
      </w:r>
      <w:r>
        <w:t xml:space="preserve"> </w:t>
      </w:r>
      <w:r>
        <w:t xml:space="preserve">Contract No. MPPE-2025-0312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Secondary classroom instruction – Mathematics (Grades 10–12), 4 periods per day, 22 working days in May 2025</w:t>
            </w:r>
          </w:p>
        </w:tc>
        <w:tc>
          <w:tcPr/>
          <w:p>
            <w:pPr>
              <w:pStyle w:val="Compact"/>
              <w:jc w:val="left"/>
            </w:pPr>
            <w:r>
              <w:t xml:space="preserve">Instructional</w:t>
            </w:r>
          </w:p>
        </w:tc>
        <w:tc>
          <w:tcPr/>
          <w:p>
            <w:pPr>
              <w:pStyle w:val="Compact"/>
              <w:jc w:val="left"/>
            </w:pPr>
            <w:r>
              <w:t xml:space="preserve">176</w:t>
            </w:r>
          </w:p>
        </w:tc>
        <w:tc>
          <w:tcPr/>
          <w:p>
            <w:pPr>
              <w:pStyle w:val="Compact"/>
              <w:jc w:val="left"/>
            </w:pPr>
            <w:r>
              <w:t xml:space="preserve">$4.50</w:t>
            </w:r>
          </w:p>
        </w:tc>
        <w:tc>
          <w:tcPr/>
          <w:p>
            <w:pPr>
              <w:pStyle w:val="Compact"/>
              <w:jc w:val="left"/>
            </w:pPr>
            <w:r>
              <w:t xml:space="preserve">$792.00</w:t>
            </w:r>
          </w:p>
        </w:tc>
      </w:tr>
      <w:tr>
        <w:tc>
          <w:tcPr/>
          <w:p>
            <w:pPr>
              <w:pStyle w:val="Compact"/>
              <w:jc w:val="left"/>
            </w:pPr>
            <w:r>
              <w:t xml:space="preserve">2</w:t>
            </w:r>
          </w:p>
        </w:tc>
        <w:tc>
          <w:tcPr/>
          <w:p>
            <w:pPr>
              <w:pStyle w:val="Compact"/>
              <w:jc w:val="left"/>
            </w:pPr>
            <w:r>
              <w:t xml:space="preserve">Teacher Secondary classroom instruction – Physics (Grades 11–12), 3 periods per day, 22 working days in May 2025</w:t>
            </w:r>
          </w:p>
        </w:tc>
        <w:tc>
          <w:tcPr/>
          <w:p>
            <w:pPr>
              <w:pStyle w:val="Compact"/>
              <w:jc w:val="left"/>
            </w:pPr>
            <w:r>
              <w:t xml:space="preserve">Instructional</w:t>
            </w:r>
          </w:p>
        </w:tc>
        <w:tc>
          <w:tcPr/>
          <w:p>
            <w:pPr>
              <w:pStyle w:val="Compact"/>
              <w:jc w:val="left"/>
            </w:pPr>
            <w:r>
              <w:t xml:space="preserve">132</w:t>
            </w:r>
          </w:p>
        </w:tc>
        <w:tc>
          <w:tcPr/>
          <w:p>
            <w:pPr>
              <w:pStyle w:val="Compact"/>
              <w:jc w:val="left"/>
            </w:pPr>
            <w:r>
              <w:t xml:space="preserve">$4.50</w:t>
            </w:r>
          </w:p>
        </w:tc>
        <w:tc>
          <w:tcPr/>
          <w:p>
            <w:pPr>
              <w:pStyle w:val="Compact"/>
              <w:jc w:val="left"/>
            </w:pPr>
            <w:r>
              <w:t xml:space="preserve">$594.00</w:t>
            </w:r>
          </w:p>
        </w:tc>
      </w:tr>
      <w:tr>
        <w:tc>
          <w:tcPr/>
          <w:p>
            <w:pPr>
              <w:pStyle w:val="Compact"/>
              <w:jc w:val="left"/>
            </w:pPr>
            <w:r>
              <w:t xml:space="preserve">3</w:t>
            </w:r>
          </w:p>
        </w:tc>
        <w:tc>
          <w:tcPr/>
          <w:p>
            <w:pPr>
              <w:pStyle w:val="Compact"/>
              <w:jc w:val="left"/>
            </w:pPr>
            <w:r>
              <w:t xml:space="preserve">Teacher Secondary academic planning and curriculum development for the second semester, Venezuela Caracas regional standards</w:t>
            </w:r>
          </w:p>
        </w:tc>
        <w:tc>
          <w:tcPr/>
          <w:p>
            <w:pPr>
              <w:pStyle w:val="Compact"/>
              <w:jc w:val="left"/>
            </w:pPr>
            <w:r>
              <w:t xml:space="preserve">Administrative</w:t>
            </w:r>
          </w:p>
        </w:tc>
        <w:tc>
          <w:tcPr/>
          <w:p>
            <w:pPr>
              <w:pStyle w:val="Compact"/>
              <w:jc w:val="left"/>
            </w:pPr>
            <w:r>
              <w:t xml:space="preserve">16</w:t>
            </w:r>
          </w:p>
        </w:tc>
        <w:tc>
          <w:tcPr/>
          <w:p>
            <w:pPr>
              <w:pStyle w:val="Compact"/>
              <w:jc w:val="left"/>
            </w:pPr>
            <w:r>
              <w:t xml:space="preserve">$6.00</w:t>
            </w:r>
          </w:p>
        </w:tc>
        <w:tc>
          <w:tcPr/>
          <w:p>
            <w:pPr>
              <w:pStyle w:val="Compact"/>
              <w:jc w:val="left"/>
            </w:pPr>
            <w:r>
              <w:t xml:space="preserve">$96.00</w:t>
            </w:r>
          </w:p>
        </w:tc>
      </w:tr>
      <w:tr>
        <w:tc>
          <w:tcPr/>
          <w:p>
            <w:pPr>
              <w:pStyle w:val="Compact"/>
              <w:jc w:val="left"/>
            </w:pPr>
            <w:r>
              <w:t xml:space="preserve">4</w:t>
            </w:r>
          </w:p>
        </w:tc>
        <w:tc>
          <w:tcPr/>
          <w:p>
            <w:pPr>
              <w:pStyle w:val="Compact"/>
              <w:jc w:val="left"/>
            </w:pPr>
            <w:r>
              <w:t xml:space="preserve">Teacher Secondary student evaluation, grading, and individualized feedback sessions for 145 enrolled students</w:t>
            </w:r>
          </w:p>
        </w:tc>
        <w:tc>
          <w:tcPr/>
          <w:p>
            <w:pPr>
              <w:pStyle w:val="Compact"/>
              <w:jc w:val="left"/>
            </w:pPr>
            <w:r>
              <w:t xml:space="preserve">Assessment</w:t>
            </w:r>
          </w:p>
        </w:tc>
        <w:tc>
          <w:tcPr/>
          <w:p>
            <w:pPr>
              <w:pStyle w:val="Compact"/>
              <w:jc w:val="left"/>
            </w:pPr>
            <w:r>
              <w:t xml:space="preserve">24</w:t>
            </w:r>
          </w:p>
        </w:tc>
        <w:tc>
          <w:tcPr/>
          <w:p>
            <w:pPr>
              <w:pStyle w:val="Compact"/>
              <w:jc w:val="left"/>
            </w:pPr>
            <w:r>
              <w:t xml:space="preserve">$5.00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Teacher Secondary participation in the Venezuela Caracas inter-school academic conference on STEM pedagogy (May 22–23, 2025)</w:t>
            </w:r>
          </w:p>
        </w:tc>
        <w:tc>
          <w:tcPr/>
          <w:p>
            <w:pPr>
              <w:pStyle w:val="Compact"/>
              <w:jc w:val="left"/>
            </w:pPr>
            <w:r>
              <w:t xml:space="preserve">Professional Development</w:t>
            </w:r>
          </w:p>
        </w:tc>
        <w:tc>
          <w:tcPr/>
          <w:p>
            <w:pPr>
              <w:pStyle w:val="Compact"/>
              <w:jc w:val="left"/>
            </w:pPr>
            <w:r>
              <w:t xml:space="preserve">12</w:t>
            </w:r>
          </w:p>
        </w:tc>
        <w:tc>
          <w:tcPr/>
          <w:p>
            <w:pPr>
              <w:pStyle w:val="Compact"/>
              <w:jc w:val="left"/>
            </w:pPr>
            <w:r>
              <w:t xml:space="preserve">$7.00</w:t>
            </w:r>
          </w:p>
        </w:tc>
        <w:tc>
          <w:tcPr/>
          <w:p>
            <w:pPr>
              <w:pStyle w:val="Compact"/>
              <w:jc w:val="left"/>
            </w:pPr>
            <w:r>
              <w:t xml:space="preserve">$84.00</w:t>
            </w:r>
          </w:p>
        </w:tc>
      </w:tr>
      <w:tr>
        <w:tc>
          <w:tcPr/>
          <w:p>
            <w:pPr>
              <w:pStyle w:val="Compact"/>
              <w:jc w:val="left"/>
            </w:pPr>
            <w:r>
              <w:t xml:space="preserve">6</w:t>
            </w:r>
          </w:p>
        </w:tc>
        <w:tc>
          <w:tcPr/>
          <w:p>
            <w:pPr>
              <w:pStyle w:val="Compact"/>
              <w:jc w:val="left"/>
            </w:pPr>
            <w:r>
              <w:t xml:space="preserve">Teacher Secondary after-school tutoring program supervision – Mathematics remedial group (10 students, 3 sessions per week)</w:t>
            </w:r>
          </w:p>
        </w:tc>
        <w:tc>
          <w:tcPr/>
          <w:p>
            <w:pPr>
              <w:pStyle w:val="Compact"/>
              <w:jc w:val="left"/>
            </w:pPr>
            <w:r>
              <w:t xml:space="preserve">Supplementary</w:t>
            </w:r>
          </w:p>
        </w:tc>
        <w:tc>
          <w:tcPr/>
          <w:p>
            <w:pPr>
              <w:pStyle w:val="Compact"/>
              <w:jc w:val="left"/>
            </w:pPr>
            <w:r>
              <w:t xml:space="preserve">36</w:t>
            </w:r>
          </w:p>
        </w:tc>
        <w:tc>
          <w:tcPr/>
          <w:p>
            <w:pPr>
              <w:pStyle w:val="Compact"/>
              <w:jc w:val="left"/>
            </w:pPr>
            <w:r>
              <w:t xml:space="preserve">$5.50</w:t>
            </w:r>
          </w:p>
        </w:tc>
        <w:tc>
          <w:tcPr/>
          <w:p>
            <w:pPr>
              <w:pStyle w:val="Compact"/>
              <w:jc w:val="left"/>
            </w:pPr>
            <w:r>
              <w:t xml:space="preserve">$198.00</w:t>
            </w:r>
          </w:p>
        </w:tc>
      </w:tr>
      <w:tr>
        <w:tc>
          <w:tcPr/>
          <w:p>
            <w:pPr>
              <w:pStyle w:val="Compact"/>
              <w:jc w:val="left"/>
            </w:pPr>
            <w:r>
              <w:t xml:space="preserve">7</w:t>
            </w:r>
          </w:p>
        </w:tc>
        <w:tc>
          <w:tcPr/>
          <w:p>
            <w:pPr>
              <w:pStyle w:val="Compact"/>
              <w:jc w:val="left"/>
            </w:pPr>
            <w:r>
              <w:t xml:space="preserve">Teacher Secondary laboratory coordination and safety compliance for Physics practical sessions, Venezuela Caracas educational regulations</w:t>
            </w:r>
          </w:p>
        </w:tc>
        <w:tc>
          <w:tcPr/>
          <w:p>
            <w:pPr>
              <w:pStyle w:val="Compact"/>
              <w:jc w:val="left"/>
            </w:pPr>
            <w:r>
              <w:t xml:space="preserve">Operational</w:t>
            </w:r>
          </w:p>
        </w:tc>
        <w:tc>
          <w:tcPr/>
          <w:p>
            <w:pPr>
              <w:pStyle w:val="Compact"/>
              <w:jc w:val="left"/>
            </w:pPr>
            <w:r>
              <w:t xml:space="preserve">18</w:t>
            </w:r>
          </w:p>
        </w:tc>
        <w:tc>
          <w:tcPr/>
          <w:p>
            <w:pPr>
              <w:pStyle w:val="Compact"/>
              <w:jc w:val="left"/>
            </w:pPr>
            <w:r>
              <w:t xml:space="preserve">$5.00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Teacher Secondary parent-teacher conference preparation and attendance (bi-monthly, 145 families)</w:t>
            </w:r>
          </w:p>
        </w:tc>
        <w:tc>
          <w:tcPr/>
          <w:p>
            <w:pPr>
              <w:pStyle w:val="Compact"/>
              <w:jc w:val="left"/>
            </w:pPr>
            <w:r>
              <w:t xml:space="preserve">Communication</w:t>
            </w:r>
          </w:p>
        </w:tc>
        <w:tc>
          <w:tcPr/>
          <w:p>
            <w:pPr>
              <w:pStyle w:val="Compact"/>
              <w:jc w:val="left"/>
            </w:pPr>
            <w:r>
              <w:t xml:space="preserve">10</w:t>
            </w:r>
          </w:p>
        </w:tc>
        <w:tc>
          <w:tcPr/>
          <w:p>
            <w:pPr>
              <w:pStyle w:val="Compact"/>
              <w:jc w:val="left"/>
            </w:pPr>
            <w:r>
              <w:t xml:space="preserve">$4.00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$2,014.00</w:t>
            </w:r>
          </w:p>
        </w:tc>
      </w:tr>
      <w:tr>
        <w:tc>
          <w:tcPr/>
          <w:p>
            <w:pPr>
              <w:pStyle w:val="Compact"/>
              <w:jc w:val="left"/>
            </w:pPr>
            <w:r>
              <w:t xml:space="preserve">IVA (16% – Venezuelan Value Added Tax)</w:t>
            </w:r>
          </w:p>
        </w:tc>
        <w:tc>
          <w:tcPr/>
          <w:p>
            <w:pPr>
              <w:pStyle w:val="Compact"/>
              <w:jc w:val="right"/>
            </w:pPr>
            <w:r>
              <w:t xml:space="preserve">$322.24</w:t>
            </w:r>
          </w:p>
        </w:tc>
      </w:tr>
      <w:tr>
        <w:tc>
          <w:tcPr/>
          <w:p>
            <w:pPr>
              <w:pStyle w:val="Compact"/>
              <w:jc w:val="left"/>
            </w:pPr>
            <w:r>
              <w:t xml:space="preserve">Professional Services Surcharge (2%)</w:t>
            </w:r>
          </w:p>
        </w:tc>
        <w:tc>
          <w:tcPr/>
          <w:p>
            <w:pPr>
              <w:pStyle w:val="Compact"/>
              <w:jc w:val="right"/>
            </w:pPr>
            <w:r>
              <w:t xml:space="preserve">$40.28</w:t>
            </w:r>
          </w:p>
        </w:tc>
      </w:tr>
      <w:tr>
        <w:tc>
          <w:tcPr/>
          <w:p>
            <w:pPr>
              <w:pStyle w:val="Compact"/>
              <w:jc w:val="left"/>
            </w:pPr>
            <w:r>
              <w:t xml:space="preserve">Withholding Tax (4% – IRPF)</w:t>
            </w:r>
          </w:p>
        </w:tc>
        <w:tc>
          <w:tcPr/>
          <w:p>
            <w:pPr>
              <w:pStyle w:val="Compact"/>
              <w:jc w:val="right"/>
            </w:pPr>
            <w:r>
              <w:t xml:space="preserve">($80.56)</w:t>
            </w:r>
          </w:p>
        </w:tc>
      </w:tr>
      <w:tr>
        <w:tc>
          <w:tcPr/>
          <w:p>
            <w:pPr>
              <w:pStyle w:val="Compact"/>
              <w:jc w:val="left"/>
            </w:pPr>
            <w:r>
              <w:t xml:space="preserve">NET AMOUNT DUE</w:t>
            </w:r>
          </w:p>
        </w:tc>
        <w:tc>
          <w:tcPr/>
          <w:p>
            <w:pPr>
              <w:pStyle w:val="Compact"/>
              <w:jc w:val="right"/>
            </w:pPr>
            <w:r>
              <w:t xml:space="preserve">$2,295.96</w:t>
            </w:r>
          </w:p>
        </w:tc>
      </w:tr>
    </w:tbl>
    <w:bookmarkStart w:id="25"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Venezuela, Sucursal Chacao, Caracas</w:t>
      </w:r>
    </w:p>
    <w:p>
      <w:pPr>
        <w:pStyle w:val="BodyText"/>
      </w:pPr>
      <w:r>
        <w:rPr>
          <w:bCs/>
          <w:b/>
        </w:rPr>
        <w:t xml:space="preserve">Account Name:</w:t>
      </w:r>
      <w:r>
        <w:t xml:space="preserve"> </w:t>
      </w:r>
      <w:r>
        <w:t xml:space="preserve">Instituto Educativo Caracas Sur</w:t>
      </w:r>
    </w:p>
    <w:p>
      <w:pPr>
        <w:pStyle w:val="BodyText"/>
      </w:pPr>
      <w:r>
        <w:rPr>
          <w:bCs/>
          <w:b/>
        </w:rPr>
        <w:t xml:space="preserve">Account No. (Cuenta Corriente):</w:t>
      </w:r>
      <w:r>
        <w:t xml:space="preserve"> </w:t>
      </w:r>
      <w:r>
        <w:t xml:space="preserve">0102-0456-78-0001234567</w:t>
      </w:r>
    </w:p>
    <w:p>
      <w:pPr>
        <w:pStyle w:val="BodyText"/>
      </w:pPr>
      <w:r>
        <w:rPr>
          <w:bCs/>
          <w:b/>
        </w:rPr>
        <w:t xml:space="preserve">IBAN:</w:t>
      </w:r>
      <w:r>
        <w:t xml:space="preserve"> </w:t>
      </w:r>
      <w:r>
        <w:t xml:space="preserve">VE0101020045780001234567</w:t>
      </w:r>
    </w:p>
    <w:p>
      <w:pPr>
        <w:pStyle w:val="BodyText"/>
      </w:pPr>
      <w:r>
        <w:rPr>
          <w:bCs/>
          <w:b/>
        </w:rPr>
        <w:t xml:space="preserve">Payment Deadline:</w:t>
      </w:r>
      <w:r>
        <w:t xml:space="preserve"> </w:t>
      </w:r>
      <w:r>
        <w:t xml:space="preserve">This Invoice must be settled no later than July 15, 2025. Late payments will incur a monthly interest rate of 1.5% in accordance with Venezuelan commercial law (Ley de Títulos Valores y Créditos).</w:t>
      </w:r>
    </w:p>
    <w:p>
      <w:pPr>
        <w:pStyle w:val="BodyText"/>
      </w:pPr>
      <w:r>
        <w:rPr>
          <w:bCs/>
          <w:b/>
        </w:rPr>
        <w:t xml:space="preserve">Reference for Payment:</w:t>
      </w:r>
      <w:r>
        <w:t xml:space="preserve"> </w:t>
      </w:r>
      <w:r>
        <w:t xml:space="preserve">Please include Invoice No. IEC-2025-04872 and the Teacher Secondary contract reference MPPE-2025-0312 in all payment communications.</w:t>
      </w:r>
    </w:p>
    <w:bookmarkEnd w:id="25"/>
    <w:bookmarkStart w:id="26" w:name="important-notes"/>
    <w:p>
      <w:pPr>
        <w:pStyle w:val="Heading3"/>
      </w:pPr>
      <w:r>
        <w:t xml:space="preserve">Important Notes</w:t>
      </w:r>
    </w:p>
    <w:p>
      <w:pPr>
        <w:pStyle w:val="FirstParagraph"/>
      </w:pPr>
      <w:r>
        <w:t xml:space="preserve">1. This Invoice covers the full monthly compensation for the Teacher Secondary professional services rendered during the period of May 1 through May 31, 2025, at the Instituto Educativo Caracas Sur, located in the municipality of Chacao, Caracas, Venezuela.</w:t>
      </w:r>
    </w:p>
    <w:p>
      <w:pPr>
        <w:pStyle w:val="BodyText"/>
      </w:pPr>
      <w:r>
        <w:t xml:space="preserve">2. All instructional hours listed in this Invoice have been verified against the official attendance register maintained by the Teacher Secondary and countersigned by the Academic Director of the institution.</w:t>
      </w:r>
    </w:p>
    <w:p>
      <w:pPr>
        <w:pStyle w:val="BodyText"/>
      </w:pPr>
      <w:r>
        <w:t xml:space="preserve">3. The Venezuela Caracas regional educational authority has approved the supplementary tutoring program (Item 6) under Resolution No. RC-2025-0891, effective from March 2025.</w:t>
      </w:r>
    </w:p>
    <w:p>
      <w:pPr>
        <w:pStyle w:val="BodyText"/>
      </w:pPr>
      <w:r>
        <w:t xml:space="preserve">4. The Teacher Secondary professional is registered in good standing with the Colegio de Profesores de Venezuela, Caracas chapter, and all professional licenses remain valid through December 2025.</w:t>
      </w:r>
    </w:p>
    <w:p>
      <w:pPr>
        <w:pStyle w:val="BodyText"/>
      </w:pPr>
      <w:r>
        <w:t xml:space="preserve">5. This Invoice is issued in accordance with the Venezuelan tax regulations (Ley de Impuesto al Valor Agregado and Ley de Impuesto Sobre la Renta). The applicable IVA rate of 16% has been applied to all taxable services as mandated for the Venezuela Caracas jurisdiction.</w:t>
      </w:r>
    </w:p>
    <w:p>
      <w:pPr>
        <w:pStyle w:val="BodyText"/>
      </w:pPr>
      <w:r>
        <w:t xml:space="preserve">6. Any disputes regarding the amounts or services listed in this Invoice must be submitted in writing to the Finance Department within fifteen (15) business days of the date of issue. Failure to do so constitutes acceptance of the Invoice terms.</w:t>
      </w:r>
    </w:p>
    <w:p>
      <w:pPr>
        <w:pStyle w:val="BodyText"/>
      </w:pPr>
      <w:r>
        <w:t xml:space="preserve">7. This document is valid as a fiscal invoice (Factura Fiscal) for accounting and tax purposes in the Republic of Venezuela. A digital copy is available upon request via the institutional portal.</w:t>
      </w:r>
    </w:p>
    <w:bookmarkEnd w:id="26"/>
    <w:p>
      <w:pPr>
        <w:pStyle w:val="BodyText"/>
      </w:pPr>
      <w:r>
        <w:rPr>
          <w:bCs/>
          <w:b/>
        </w:rPr>
        <w:t xml:space="preserve">Instituto Educativo Caracas Sur</w:t>
      </w:r>
      <w:r>
        <w:t xml:space="preserve"> </w:t>
      </w:r>
      <w:r>
        <w:t xml:space="preserve">| Teacher Secondary Services Division | Venezuela Caracas</w:t>
      </w:r>
    </w:p>
    <w:p>
      <w:pPr>
        <w:pStyle w:val="BodyText"/>
      </w:pPr>
      <w:r>
        <w:t xml:space="preserve">This Invoice was generated electronically on June 15, 2025. For verification, contact the Finance Department at finanzas@iecs.edu.ve or +58 (212) 555-0147.</w:t>
      </w:r>
    </w:p>
    <w:p>
      <w:pPr>
        <w:pStyle w:val="BodyText"/>
      </w:pPr>
      <w:r>
        <w:t xml:space="preserve">Document Reference: IEC-2025-04872 | Teacher Secondary Contract MPPE-2025-0312 | Venezuela Caracas Educational District 04</w:t>
      </w:r>
    </w:p>
    <w:p>
      <w:pPr>
        <w:pStyle w:val="BodyText"/>
      </w:pPr>
      <w:r>
        <w:t xml:space="preserve">© 2025 Instituto Educativo Caracas Sur. All rights reserved. This Invoice is the property of the issuing institution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Venezuela Caracas</dc:title>
  <dc:creator/>
  <dc:language>en</dc:language>
  <cp:keywords/>
  <dcterms:created xsi:type="dcterms:W3CDTF">2026-10-10T04:21:50Z</dcterms:created>
  <dcterms:modified xsi:type="dcterms:W3CDTF">2026-10-10T04:21:50Z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