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eduviet-academic-services-co.-ltd."/>
    <w:p>
      <w:pPr>
        <w:pStyle w:val="Heading1"/>
      </w:pPr>
      <w:r>
        <w:t xml:space="preserve">EduViet Academic Services Co., Ltd.</w:t>
      </w:r>
    </w:p>
    <w:p>
      <w:pPr>
        <w:pStyle w:val="FirstParagraph"/>
      </w:pPr>
      <w:r>
        <w:t xml:space="preserve">128 Nguyen Van Linh Street, District 1</w:t>
      </w:r>
    </w:p>
    <w:p>
      <w:pPr>
        <w:pStyle w:val="BodyText"/>
      </w:pPr>
      <w:r>
        <w:t xml:space="preserve">Vietnam Ho Chi Minh City, 700000</w:t>
      </w:r>
    </w:p>
    <w:p>
      <w:pPr>
        <w:pStyle w:val="BodyText"/>
      </w:pPr>
      <w:r>
        <w:t xml:space="preserve">Tax Code: 0312345678</w:t>
      </w:r>
    </w:p>
    <w:p>
      <w:pPr>
        <w:pStyle w:val="BodyText"/>
      </w:pPr>
      <w:r>
        <w:t xml:space="preserve">Email: billing@eduviet.edu.vn | Tel: +84 28 3822 4567</w:t>
      </w:r>
    </w:p>
    <w:bookmarkEnd w:id="20"/>
    <w:bookmarkStart w:id="21" w:name="invoice"/>
    <w:p>
      <w:pPr>
        <w:pStyle w:val="Heading2"/>
      </w:pPr>
      <w:r>
        <w:t xml:space="preserve">INVOICE</w:t>
      </w:r>
    </w:p>
    <w:p>
      <w:pPr>
        <w:pStyle w:val="FirstParagraph"/>
      </w:pPr>
      <w:r>
        <w:t xml:space="preserve">Invoice No: EV-2025-00487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Thang Long Secondary School</w:t>
      </w:r>
    </w:p>
    <w:p>
      <w:pPr>
        <w:pStyle w:val="BodyText"/>
      </w:pPr>
      <w:r>
        <w:t xml:space="preserve">45 Le Duan Boulevard, District 3</w:t>
      </w:r>
    </w:p>
    <w:p>
      <w:pPr>
        <w:pStyle w:val="BodyText"/>
      </w:pPr>
      <w:r>
        <w:t xml:space="preserve">Vietnam Ho Chi Minh City, 700000</w:t>
      </w:r>
    </w:p>
    <w:p>
      <w:pPr>
        <w:pStyle w:val="BodyText"/>
      </w:pPr>
      <w:r>
        <w:t xml:space="preserve">Attn: Principal Nguyen Thi Hoa</w:t>
      </w:r>
    </w:p>
    <w:p>
      <w:pPr>
        <w:pStyle w:val="BodyText"/>
      </w:pPr>
      <w:r>
        <w:t xml:space="preserve">Tax Code: 0398765432</w:t>
      </w:r>
    </w:p>
    <w:p>
      <w:pPr>
        <w:pStyle w:val="BodyText"/>
      </w:pPr>
      <w:r>
        <w:t xml:space="preserve">Phone: +84 28 3930 1234</w:t>
      </w:r>
    </w:p>
    <w:bookmarkEnd w:id="22"/>
    <w:bookmarkStart w:id="23" w:name="service-provider"/>
    <w:p>
      <w:pPr>
        <w:pStyle w:val="Heading3"/>
      </w:pPr>
      <w:r>
        <w:t xml:space="preserve">Service Provider</w:t>
      </w:r>
    </w:p>
    <w:p>
      <w:pPr>
        <w:pStyle w:val="FirstParagraph"/>
      </w:pPr>
      <w:r>
        <w:rPr>
          <w:bCs/>
          <w:b/>
        </w:rPr>
        <w:t xml:space="preserve">EduViet Academic Services Co., Ltd.</w:t>
      </w:r>
    </w:p>
    <w:p>
      <w:pPr>
        <w:pStyle w:val="BodyText"/>
      </w:pPr>
      <w:r>
        <w:t xml:space="preserve">128 Nguyen Van Linh Street, District 1</w:t>
      </w:r>
    </w:p>
    <w:p>
      <w:pPr>
        <w:pStyle w:val="BodyText"/>
      </w:pPr>
      <w:r>
        <w:t xml:space="preserve">Vietnam Ho Chi Minh City, 700000</w:t>
      </w:r>
    </w:p>
    <w:p>
      <w:pPr>
        <w:pStyle w:val="BodyText"/>
      </w:pPr>
      <w:r>
        <w:t xml:space="preserve">Attn: Mr. Tran Van Minh (Operations Director)</w:t>
      </w:r>
    </w:p>
    <w:p>
      <w:pPr>
        <w:pStyle w:val="BodyText"/>
      </w:pPr>
      <w:r>
        <w:t xml:space="preserve">Bank: Vietcombank, Ho Chi Minh City Branch</w:t>
      </w:r>
    </w:p>
    <w:p>
      <w:pPr>
        <w:pStyle w:val="BodyText"/>
      </w:pPr>
      <w:r>
        <w:t xml:space="preserve">Account No: 0091001234567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Teacher Secondary – Mathematics Instruction (Grades 9–12), full-time classroom delivery and curriculum development in Vietnam Ho Chi Minh City</w:t>
            </w:r>
          </w:p>
        </w:tc>
        <w:tc>
          <w:tcPr/>
          <w:p>
            <w:pPr>
              <w:pStyle w:val="Compact"/>
              <w:jc w:val="left"/>
            </w:pPr>
            <w:r>
              <w:t xml:space="preserve">May 2025</w:t>
            </w:r>
          </w:p>
        </w:tc>
        <w:tc>
          <w:tcPr/>
          <w:p>
            <w:pPr>
              <w:pStyle w:val="Compact"/>
              <w:jc w:val="left"/>
            </w:pPr>
            <w:r>
              <w:t xml:space="preserve">22 days</w:t>
            </w:r>
          </w:p>
        </w:tc>
        <w:tc>
          <w:tcPr/>
          <w:p>
            <w:pPr>
              <w:pStyle w:val="Compact"/>
              <w:jc w:val="left"/>
            </w:pPr>
            <w:r>
              <w:t xml:space="preserve">1,200,000</w:t>
            </w:r>
          </w:p>
        </w:tc>
        <w:tc>
          <w:tcPr/>
          <w:p>
            <w:pPr>
              <w:pStyle w:val="Compact"/>
              <w:jc w:val="left"/>
            </w:pPr>
            <w:r>
              <w:t xml:space="preserve">26,400,000</w:t>
            </w:r>
          </w:p>
        </w:tc>
      </w:tr>
      <w:tr>
        <w:tc>
          <w:tcPr/>
          <w:p>
            <w:pPr>
              <w:pStyle w:val="Compact"/>
              <w:jc w:val="left"/>
            </w:pPr>
            <w:r>
              <w:t xml:space="preserve">2</w:t>
            </w:r>
          </w:p>
        </w:tc>
        <w:tc>
          <w:tcPr/>
          <w:p>
            <w:pPr>
              <w:pStyle w:val="Compact"/>
              <w:jc w:val="left"/>
            </w:pPr>
            <w:r>
              <w:t xml:space="preserve">Teacher Secondary – English Language Program, including lesson planning, student assessment, and parent-teacher conferences for secondary students</w:t>
            </w:r>
          </w:p>
        </w:tc>
        <w:tc>
          <w:tcPr/>
          <w:p>
            <w:pPr>
              <w:pStyle w:val="Compact"/>
              <w:jc w:val="left"/>
            </w:pPr>
            <w:r>
              <w:t xml:space="preserve">May 2025</w:t>
            </w:r>
          </w:p>
        </w:tc>
        <w:tc>
          <w:tcPr/>
          <w:p>
            <w:pPr>
              <w:pStyle w:val="Compact"/>
              <w:jc w:val="left"/>
            </w:pPr>
            <w:r>
              <w:t xml:space="preserve">22 days</w:t>
            </w:r>
          </w:p>
        </w:tc>
        <w:tc>
          <w:tcPr/>
          <w:p>
            <w:pPr>
              <w:pStyle w:val="Compact"/>
              <w:jc w:val="left"/>
            </w:pPr>
            <w:r>
              <w:t xml:space="preserve">1,100,000</w:t>
            </w:r>
          </w:p>
        </w:tc>
        <w:tc>
          <w:tcPr/>
          <w:p>
            <w:pPr>
              <w:pStyle w:val="Compact"/>
              <w:jc w:val="left"/>
            </w:pPr>
            <w:r>
              <w:t xml:space="preserve">24,200,000</w:t>
            </w:r>
          </w:p>
        </w:tc>
      </w:tr>
      <w:tr>
        <w:tc>
          <w:tcPr/>
          <w:p>
            <w:pPr>
              <w:pStyle w:val="Compact"/>
              <w:jc w:val="left"/>
            </w:pPr>
            <w:r>
              <w:t xml:space="preserve">3</w:t>
            </w:r>
          </w:p>
        </w:tc>
        <w:tc>
          <w:tcPr/>
          <w:p>
            <w:pPr>
              <w:pStyle w:val="Compact"/>
              <w:jc w:val="left"/>
            </w:pPr>
            <w:r>
              <w:t xml:space="preserve">Teacher Secondary – Physics &amp; Chemistry Laboratory Supervision, hands-on experimental sessions for Grade 10–12 students</w:t>
            </w:r>
          </w:p>
        </w:tc>
        <w:tc>
          <w:tcPr/>
          <w:p>
            <w:pPr>
              <w:pStyle w:val="Compact"/>
              <w:jc w:val="left"/>
            </w:pPr>
            <w:r>
              <w:t xml:space="preserve">May 2025</w:t>
            </w:r>
          </w:p>
        </w:tc>
        <w:tc>
          <w:tcPr/>
          <w:p>
            <w:pPr>
              <w:pStyle w:val="Compact"/>
              <w:jc w:val="left"/>
            </w:pPr>
            <w:r>
              <w:t xml:space="preserve">18 days</w:t>
            </w:r>
          </w:p>
        </w:tc>
        <w:tc>
          <w:tcPr/>
          <w:p>
            <w:pPr>
              <w:pStyle w:val="Compact"/>
              <w:jc w:val="left"/>
            </w:pPr>
            <w:r>
              <w:t xml:space="preserve">1,350,000</w:t>
            </w:r>
          </w:p>
        </w:tc>
        <w:tc>
          <w:tcPr/>
          <w:p>
            <w:pPr>
              <w:pStyle w:val="Compact"/>
              <w:jc w:val="left"/>
            </w:pPr>
            <w:r>
              <w:t xml:space="preserve">24,300,000</w:t>
            </w:r>
          </w:p>
        </w:tc>
      </w:tr>
      <w:tr>
        <w:tc>
          <w:tcPr/>
          <w:p>
            <w:pPr>
              <w:pStyle w:val="Compact"/>
              <w:jc w:val="left"/>
            </w:pPr>
            <w:r>
              <w:t xml:space="preserve">4</w:t>
            </w:r>
          </w:p>
        </w:tc>
        <w:tc>
          <w:tcPr/>
          <w:p>
            <w:pPr>
              <w:pStyle w:val="Compact"/>
              <w:jc w:val="left"/>
            </w:pPr>
            <w:r>
              <w:t xml:space="preserve">Teacher Secondary – Extracurricular Academic Tutoring and Exam Preparation (National High School Exam), evening sessions in Vietnam Ho Chi Minh City</w:t>
            </w:r>
          </w:p>
        </w:tc>
        <w:tc>
          <w:tcPr/>
          <w:p>
            <w:pPr>
              <w:pStyle w:val="Compact"/>
              <w:jc w:val="left"/>
            </w:pPr>
            <w:r>
              <w:t xml:space="preserve">May 2025</w:t>
            </w:r>
          </w:p>
        </w:tc>
        <w:tc>
          <w:tcPr/>
          <w:p>
            <w:pPr>
              <w:pStyle w:val="Compact"/>
              <w:jc w:val="left"/>
            </w:pPr>
            <w:r>
              <w:t xml:space="preserve">12 sessions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5</w:t>
            </w:r>
          </w:p>
        </w:tc>
        <w:tc>
          <w:tcPr/>
          <w:p>
            <w:pPr>
              <w:pStyle w:val="Compact"/>
              <w:jc w:val="left"/>
            </w:pPr>
            <w:r>
              <w:t xml:space="preserve">Teacher Secondary – Professional Development Workshop Participation and Certification Renewal (Ministry of Education &amp; Training, Vietnam Ho Chi Minh City)</w:t>
            </w:r>
          </w:p>
        </w:tc>
        <w:tc>
          <w:tcPr/>
          <w:p>
            <w:pPr>
              <w:pStyle w:val="Compact"/>
              <w:jc w:val="left"/>
            </w:pPr>
            <w:r>
              <w:t xml:space="preserve">May 2025</w:t>
            </w:r>
          </w:p>
        </w:tc>
        <w:tc>
          <w:tcPr/>
          <w:p>
            <w:pPr>
              <w:pStyle w:val="Compact"/>
              <w:jc w:val="left"/>
            </w:pPr>
            <w:r>
              <w:t xml:space="preserve">3 days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Teacher Secondary – Administrative Support: grading, report card preparation, and student record management for the secondary division</w:t>
            </w:r>
          </w:p>
        </w:tc>
        <w:tc>
          <w:tcPr/>
          <w:p>
            <w:pPr>
              <w:pStyle w:val="Compact"/>
              <w:jc w:val="left"/>
            </w:pPr>
            <w:r>
              <w:t xml:space="preserve">May 2025</w:t>
            </w:r>
          </w:p>
        </w:tc>
        <w:tc>
          <w:tcPr/>
          <w:p>
            <w:pPr>
              <w:pStyle w:val="Compact"/>
              <w:jc w:val="left"/>
            </w:pPr>
            <w:r>
              <w:t xml:space="preserve">22 days</w:t>
            </w:r>
          </w:p>
        </w:tc>
        <w:tc>
          <w:tcPr/>
          <w:p>
            <w:pPr>
              <w:pStyle w:val="Compact"/>
              <w:jc w:val="left"/>
            </w:pPr>
            <w:r>
              <w:t xml:space="preserve">400,000</w:t>
            </w:r>
          </w:p>
        </w:tc>
        <w:tc>
          <w:tcPr/>
          <w:p>
            <w:pPr>
              <w:pStyle w:val="Compact"/>
              <w:jc w:val="left"/>
            </w:pPr>
            <w:r>
              <w:t xml:space="preserve">8,800,000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96,750,000 VND</w:t>
            </w:r>
          </w:p>
        </w:tc>
      </w:tr>
      <w:tr>
        <w:tc>
          <w:tcPr/>
          <w:p>
            <w:pPr>
              <w:pStyle w:val="Compact"/>
              <w:jc w:val="left"/>
            </w:pPr>
            <w:r>
              <w:t xml:space="preserve">VAT (10%)</w:t>
            </w:r>
          </w:p>
        </w:tc>
        <w:tc>
          <w:tcPr/>
          <w:p>
            <w:pPr>
              <w:pStyle w:val="Compact"/>
              <w:jc w:val="right"/>
            </w:pPr>
            <w:r>
              <w:t xml:space="preserve">9,675,000 VND</w:t>
            </w:r>
          </w:p>
        </w:tc>
      </w:tr>
      <w:tr>
        <w:tc>
          <w:tcPr/>
          <w:p>
            <w:pPr>
              <w:pStyle w:val="Compact"/>
              <w:jc w:val="left"/>
            </w:pPr>
            <w:r>
              <w:t xml:space="preserve">Discount (Early Payment – 2%)</w:t>
            </w:r>
          </w:p>
        </w:tc>
        <w:tc>
          <w:tcPr/>
          <w:p>
            <w:pPr>
              <w:pStyle w:val="Compact"/>
              <w:jc w:val="right"/>
            </w:pPr>
            <w:r>
              <w:t xml:space="preserve">-1,935,000 VND</w:t>
            </w:r>
          </w:p>
        </w:tc>
      </w:tr>
      <w:tr>
        <w:tc>
          <w:tcPr/>
          <w:p>
            <w:pPr>
              <w:pStyle w:val="Compact"/>
              <w:jc w:val="left"/>
            </w:pPr>
            <w:r>
              <w:t xml:space="preserve">Grand Total</w:t>
            </w:r>
          </w:p>
        </w:tc>
        <w:tc>
          <w:tcPr/>
          <w:p>
            <w:pPr>
              <w:pStyle w:val="Compact"/>
              <w:jc w:val="right"/>
            </w:pPr>
            <w:r>
              <w:t xml:space="preserve">104,490,000 VND</w:t>
            </w:r>
          </w:p>
        </w:tc>
      </w:tr>
    </w:tbl>
    <w:bookmarkStart w:id="24" w:name="payment-terms-conditions"/>
    <w:p>
      <w:pPr>
        <w:pStyle w:val="Heading3"/>
      </w:pPr>
      <w:r>
        <w:t xml:space="preserve">Payment Terms &amp; Conditions</w:t>
      </w:r>
    </w:p>
    <w:p>
      <w:pPr>
        <w:pStyle w:val="FirstParagraph"/>
      </w:pPr>
      <w:r>
        <w:t xml:space="preserve">This Invoice for Teacher Secondary services rendered in Vietnam Ho Chi Minh City is payable within 15 calendar days from the date of issue. Payment shall be made via bank transfer to the account specified above. A 2% early payment discount applies if the full amount is settled before 25 June 2025. Late payments will incur a penalty of 0.05% per day as stipulated under Vietnamese commercial law. This Invoice must be presented to the school's finance department along with the corresponding service completion certificate signed by the supervising Teacher Secondary coordinator.</w:t>
      </w:r>
    </w:p>
    <w:bookmarkEnd w:id="24"/>
    <w:bookmarkStart w:id="25" w:name="additional-notes"/>
    <w:p>
      <w:pPr>
        <w:pStyle w:val="Heading3"/>
      </w:pPr>
      <w:r>
        <w:t xml:space="preserve">Additional Notes</w:t>
      </w:r>
    </w:p>
    <w:p>
      <w:pPr>
        <w:pStyle w:val="FirstParagraph"/>
      </w:pPr>
      <w:r>
        <w:t xml:space="preserve">All Teacher Secondary personnel listed on this Invoice are fully certified by the Ministry of Education and Training of Vietnam and are registered to operate within the jurisdiction of Ho Chi Minh City. The services described herein comply with the national secondary education curriculum standards effective from the 2024–2025 academic year. Should the school require any amendments to this Invoice, written notice must be submitted to EduViet Academic Services within 5 business days. This document serves as the official Invoice for tax reporting purposes in Vietnam Ho Chi Minh City and must be retained by the school for a minimum of 10 years in accordance with Vietnamese accounting regulations.</w:t>
      </w:r>
    </w:p>
    <w:bookmarkEnd w:id="25"/>
    <w:p>
      <w:pPr>
        <w:pStyle w:val="BodyText"/>
      </w:pPr>
      <w:r>
        <w:rPr>
          <w:bCs/>
          <w:b/>
        </w:rPr>
        <w:t xml:space="preserve">EduViet Academic Services Co., Ltd.</w:t>
      </w:r>
      <w:r>
        <w:t xml:space="preserve"> </w:t>
      </w:r>
      <w:r>
        <w:t xml:space="preserve">– Providing Quality Teacher Secondary Solutions in Vietnam Ho Chi Minh City Since 2012</w:t>
      </w:r>
    </w:p>
    <w:p>
      <w:pPr>
        <w:pStyle w:val="BodyText"/>
      </w:pPr>
      <w:r>
        <w:t xml:space="preserve">This Invoice was generated electronically and is valid without a physical signature. Invoice Reference: EV-2025-00487 | Generated: 15/06/2025 09:32 AM ICT</w:t>
      </w:r>
    </w:p>
    <w:p>
      <w:pPr>
        <w:pStyle w:val="BodyText"/>
      </w:pPr>
      <w:r>
        <w:t xml:space="preserve">For inquiries regarding this Invoice or Teacher Secondary service arrangements, please contact billing@eduviet.edu.vn or call +84 28 3822 4567 (Mon–Fri, 8:00 AM – 5:00 PM, Vietnam Ho Chi Minh City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Vietnam Ho Chi Minh City</dc:title>
  <dc:creator/>
  <dc:language>en</dc:language>
  <cp:keywords/>
  <dcterms:created xsi:type="dcterms:W3CDTF">2026-10-10T03:18:24Z</dcterms:created>
  <dcterms:modified xsi:type="dcterms:W3CDTF">2026-10-10T03:18:24Z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