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Engineering</w:t>
      </w:r>
      <w:r>
        <w:t xml:space="preserve"> </w:t>
      </w:r>
      <w:r>
        <w:t xml:space="preserve">Services</w:t>
      </w:r>
    </w:p>
    <w:bookmarkStart w:id="20" w:name="telecom-solutions-bogotá-s.a.s."/>
    <w:p>
      <w:pPr>
        <w:pStyle w:val="Heading1"/>
      </w:pPr>
      <w:r>
        <w:t xml:space="preserve">TELECOM SOLUTIONS BOGOTÁ S.A.S.</w:t>
      </w:r>
    </w:p>
    <w:p>
      <w:pPr>
        <w:pStyle w:val="FirstParagraph"/>
      </w:pPr>
      <w:r>
        <w:rPr>
          <w:bCs/>
          <w:b/>
        </w:rPr>
        <w:t xml:space="preserve">Telecommunication Engineering &amp; Infrastructure</w:t>
      </w:r>
    </w:p>
    <w:p>
      <w:pPr>
        <w:pStyle w:val="BodyText"/>
      </w:pPr>
      <w:r>
        <w:t xml:space="preserve">Calle 100 # 19-22, Oficina 501</w:t>
      </w:r>
    </w:p>
    <w:p>
      <w:pPr>
        <w:pStyle w:val="BodyText"/>
      </w:pPr>
      <w:r>
        <w:t xml:space="preserve">Localización: Bogotá D.C., Colombia</w:t>
      </w:r>
    </w:p>
    <w:p>
      <w:pPr>
        <w:pStyle w:val="BodyText"/>
      </w:pPr>
      <w:r>
        <w:t xml:space="preserve">NIT: 901.234.567-8</w:t>
      </w:r>
    </w:p>
    <w:p>
      <w:pPr>
        <w:pStyle w:val="BodyText"/>
      </w:pPr>
      <w:r>
        <w:t xml:space="preserve">Email: billing@telecombogota.com.co</w:t>
      </w:r>
    </w:p>
    <w:p>
      <w:pPr>
        <w:pStyle w:val="BodyText"/>
      </w:pPr>
      <w:r>
        <w:t xml:space="preserve">Phone: +57 (1) 234 5678</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Reference: Project Fiber-Optic Expansion Zone B</w:t>
      </w:r>
    </w:p>
    <w:bookmarkEnd w:id="21"/>
    <w:bookmarkStart w:id="22" w:name="bill-to"/>
    <w:p>
      <w:pPr>
        <w:pStyle w:val="Heading3"/>
      </w:pPr>
      <w:r>
        <w:t xml:space="preserve">Bill To:</w:t>
      </w:r>
    </w:p>
    <w:p>
      <w:pPr>
        <w:pStyle w:val="FirstParagraph"/>
      </w:pPr>
      <w:r>
        <w:rPr>
          <w:bCs/>
          <w:b/>
        </w:rPr>
        <w:t xml:space="preserve">Cliente Corporativo S.A.</w:t>
      </w:r>
    </w:p>
    <w:p>
      <w:pPr>
        <w:pStyle w:val="BodyText"/>
      </w:pPr>
      <w:r>
        <w:t xml:space="preserve">Av. Caracas # 45-10, Piso 12</w:t>
      </w:r>
    </w:p>
    <w:p>
      <w:pPr>
        <w:pStyle w:val="BodyText"/>
      </w:pPr>
      <w:r>
        <w:t xml:space="preserve">Localización: Bogotá D.C., Colombia</w:t>
      </w:r>
    </w:p>
    <w:p>
      <w:pPr>
        <w:pStyle w:val="BodyText"/>
      </w:pPr>
      <w:r>
        <w:t xml:space="preserve">NIT: 800.987.654-3</w:t>
      </w:r>
    </w:p>
    <w:p>
      <w:pPr>
        <w:pStyle w:val="BodyText"/>
      </w:pPr>
      <w:r>
        <w:t xml:space="preserve">Contact Person: Ing. Juan Pérez</w:t>
      </w:r>
    </w:p>
    <w:p>
      <w:pPr>
        <w:pStyle w:val="BodyText"/>
      </w:pPr>
      <w:r>
        <w:t xml:space="preserve">Email: compras@clientecorporativo.com</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Telecommunication Services</w:t>
            </w:r>
          </w:p>
        </w:tc>
        <w:tc>
          <w:tcPr/>
          <w:p>
            <w:pPr>
              <w:pStyle w:val="Compact"/>
              <w:jc w:val="left"/>
            </w:pPr>
            <w:r>
              <w:t xml:space="preserve">Hours/Qty</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IVA (19%)</w:t>
            </w:r>
          </w:p>
        </w:tc>
      </w:tr>
      <w:tr>
        <w:tc>
          <w:tcPr/>
          <w:p>
            <w:pPr>
              <w:pStyle w:val="Compact"/>
              <w:jc w:val="left"/>
            </w:pPr>
            <w:r>
              <w:t xml:space="preserve">1</w:t>
            </w:r>
          </w:p>
        </w:tc>
        <w:tc>
          <w:tcPr/>
          <w:p>
            <w:pPr>
              <w:pStyle w:val="Compact"/>
              <w:jc w:val="left"/>
            </w:pPr>
            <w:r>
              <w:rPr>
                <w:bCs/>
                <w:b/>
              </w:rPr>
              <w:t xml:space="preserve">Site Survey and Feasibility Study:</w:t>
            </w:r>
            <w:r>
              <w:t xml:space="preserve"> </w:t>
            </w:r>
            <w:r>
              <w:t xml:space="preserve">Comprehensive analysis of the terrain and existing infrastructure in the Bogotá metropolitan area. This service includes topographic mapping, signal propagation analysis, and identification of optimal routing for fiber optic cables. Conducted by a senior Telecommunication Engineer to ensure compliance with local regulations.</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c>
          <w:tcPr/>
          <w:p>
            <w:pPr>
              <w:pStyle w:val="Compact"/>
              <w:jc w:val="left"/>
            </w:pPr>
            <w:r>
              <w:t xml:space="preserve">1,900,000</w:t>
            </w:r>
          </w:p>
        </w:tc>
      </w:tr>
      <w:tr>
        <w:tc>
          <w:tcPr/>
          <w:p>
            <w:pPr>
              <w:pStyle w:val="Compact"/>
              <w:jc w:val="left"/>
            </w:pPr>
            <w:r>
              <w:t xml:space="preserve">2</w:t>
            </w:r>
          </w:p>
        </w:tc>
        <w:tc>
          <w:tcPr/>
          <w:p>
            <w:pPr>
              <w:pStyle w:val="Compact"/>
              <w:jc w:val="left"/>
            </w:pPr>
            <w:r>
              <w:rPr>
                <w:bCs/>
                <w:b/>
              </w:rPr>
              <w:t xml:space="preserve">Network Architecture Design:</w:t>
            </w:r>
            <w:r>
              <w:t xml:space="preserve"> </w:t>
            </w:r>
            <w:r>
              <w:t xml:space="preserve">Development of a high-capacity network topology tailored for enterprise clients in Colombia. Includes the design of core, distribution, and access layers, ensuring redundancy and low latency. The Telecommunication Engineer utilized industry-standard simulation tools to validate performance metrics before deployment.</w:t>
            </w:r>
          </w:p>
        </w:tc>
        <w:tc>
          <w:tcPr/>
          <w:p>
            <w:pPr>
              <w:pStyle w:val="Compact"/>
              <w:jc w:val="left"/>
            </w:pPr>
            <w:r>
              <w:t xml:space="preserve">60</w:t>
            </w:r>
          </w:p>
        </w:tc>
        <w:tc>
          <w:tcPr/>
          <w:p>
            <w:pPr>
              <w:pStyle w:val="Compact"/>
              <w:jc w:val="left"/>
            </w:pPr>
            <w:r>
              <w:t xml:space="preserve">300,000</w:t>
            </w:r>
          </w:p>
        </w:tc>
        <w:tc>
          <w:tcPr/>
          <w:p>
            <w:pPr>
              <w:pStyle w:val="Compact"/>
              <w:jc w:val="left"/>
            </w:pPr>
            <w:r>
              <w:t xml:space="preserve">18,000,000</w:t>
            </w:r>
          </w:p>
        </w:tc>
        <w:tc>
          <w:tcPr/>
          <w:p>
            <w:pPr>
              <w:pStyle w:val="Compact"/>
              <w:jc w:val="left"/>
            </w:pPr>
            <w:r>
              <w:t xml:space="preserve">3,420,000</w:t>
            </w:r>
          </w:p>
        </w:tc>
      </w:tr>
      <w:tr>
        <w:tc>
          <w:tcPr/>
          <w:p>
            <w:pPr>
              <w:pStyle w:val="Compact"/>
              <w:jc w:val="left"/>
            </w:pPr>
            <w:r>
              <w:t xml:space="preserve">3</w:t>
            </w:r>
          </w:p>
        </w:tc>
        <w:tc>
          <w:tcPr/>
          <w:p>
            <w:pPr>
              <w:pStyle w:val="Compact"/>
              <w:jc w:val="left"/>
            </w:pPr>
            <w:r>
              <w:rPr>
                <w:bCs/>
                <w:b/>
              </w:rPr>
              <w:t xml:space="preserve">Fiber Optic Installation Supervision:</w:t>
            </w:r>
            <w:r>
              <w:t xml:space="preserve"> </w:t>
            </w:r>
            <w:r>
              <w:t xml:space="preserve">On-site technical supervision during the trenching and laying of single-mode fiber optic cables. The Telecommunication Engineer ensured that all physical installations met international standards (ITU-T) and local Bogotá municipal codes. Included testing of optical loss and continuity using OTDR equipment.</w:t>
            </w:r>
          </w:p>
        </w:tc>
        <w:tc>
          <w:tcPr/>
          <w:p>
            <w:pPr>
              <w:pStyle w:val="Compact"/>
              <w:jc w:val="left"/>
            </w:pPr>
            <w:r>
              <w:t xml:space="preserve">80</w:t>
            </w:r>
          </w:p>
        </w:tc>
        <w:tc>
          <w:tcPr/>
          <w:p>
            <w:pPr>
              <w:pStyle w:val="Compact"/>
              <w:jc w:val="left"/>
            </w:pPr>
            <w:r>
              <w:t xml:space="preserve">280,000</w:t>
            </w:r>
          </w:p>
        </w:tc>
        <w:tc>
          <w:tcPr/>
          <w:p>
            <w:pPr>
              <w:pStyle w:val="Compact"/>
              <w:jc w:val="left"/>
            </w:pPr>
            <w:r>
              <w:t xml:space="preserve">22,400,000</w:t>
            </w:r>
          </w:p>
        </w:tc>
        <w:tc>
          <w:tcPr/>
          <w:p>
            <w:pPr>
              <w:pStyle w:val="Compact"/>
              <w:jc w:val="left"/>
            </w:pPr>
            <w:r>
              <w:t xml:space="preserve">4,256,000</w:t>
            </w:r>
          </w:p>
        </w:tc>
      </w:tr>
      <w:tr>
        <w:tc>
          <w:tcPr/>
          <w:p>
            <w:pPr>
              <w:pStyle w:val="Compact"/>
              <w:jc w:val="left"/>
            </w:pPr>
            <w:r>
              <w:t xml:space="preserve">4</w:t>
            </w:r>
          </w:p>
        </w:tc>
        <w:tc>
          <w:tcPr/>
          <w:p>
            <w:pPr>
              <w:pStyle w:val="Compact"/>
              <w:jc w:val="left"/>
            </w:pPr>
            <w:r>
              <w:rPr>
                <w:bCs/>
                <w:b/>
              </w:rPr>
              <w:t xml:space="preserve">Telecom Equipment Configuration:</w:t>
            </w:r>
            <w:r>
              <w:t xml:space="preserve"> </w:t>
            </w:r>
            <w:r>
              <w:t xml:space="preserve">Installation and configuration of routers, switches, and optical network terminals (ONT). This phase involved VLAN segmentation, QoS policy implementation, and security hardening to protect the network infrastructure against cyber threats common in the region.</w:t>
            </w:r>
          </w:p>
        </w:tc>
        <w:tc>
          <w:tcPr/>
          <w:p>
            <w:pPr>
              <w:pStyle w:val="Compact"/>
              <w:jc w:val="left"/>
            </w:pPr>
            <w:r>
              <w:t xml:space="preserve">50</w:t>
            </w:r>
          </w:p>
        </w:tc>
        <w:tc>
          <w:tcPr/>
          <w:p>
            <w:pPr>
              <w:pStyle w:val="Compact"/>
              <w:jc w:val="left"/>
            </w:pPr>
            <w:r>
              <w:t xml:space="preserve">320,000</w:t>
            </w:r>
          </w:p>
        </w:tc>
        <w:tc>
          <w:tcPr/>
          <w:p>
            <w:pPr>
              <w:pStyle w:val="Compact"/>
              <w:jc w:val="left"/>
            </w:pPr>
            <w:r>
              <w:t xml:space="preserve">16,000,000</w:t>
            </w:r>
          </w:p>
        </w:tc>
        <w:tc>
          <w:tcPr/>
          <w:p>
            <w:pPr>
              <w:pStyle w:val="Compact"/>
              <w:jc w:val="left"/>
            </w:pPr>
            <w:r>
              <w:t xml:space="preserve">3,040,000</w:t>
            </w:r>
          </w:p>
        </w:tc>
      </w:tr>
      <w:tr>
        <w:tc>
          <w:tcPr/>
          <w:p>
            <w:pPr>
              <w:pStyle w:val="Compact"/>
              <w:jc w:val="left"/>
            </w:pPr>
            <w:r>
              <w:t xml:space="preserve">5</w:t>
            </w:r>
          </w:p>
        </w:tc>
        <w:tc>
          <w:tcPr/>
          <w:p>
            <w:pPr>
              <w:pStyle w:val="Compact"/>
              <w:jc w:val="left"/>
            </w:pPr>
            <w:r>
              <w:rPr>
                <w:bCs/>
                <w:b/>
              </w:rPr>
              <w:t xml:space="preserve">Testing, Commissioning, and Handover:</w:t>
            </w:r>
            <w:r>
              <w:t xml:space="preserve"> </w:t>
            </w:r>
            <w:r>
              <w:t xml:space="preserve">Final validation of the telecommunication system. Includes throughput testing, latency checks, and stress testing to ensure the network can handle peak loads. The Telecommunication Engineer provided a detailed technical report and training for the client's IT staff in Bogotá.</w:t>
            </w:r>
          </w:p>
        </w:tc>
        <w:tc>
          <w:tcPr/>
          <w:p>
            <w:pPr>
              <w:pStyle w:val="Compact"/>
              <w:jc w:val="left"/>
            </w:pPr>
            <w:r>
              <w:t xml:space="preserve">30</w:t>
            </w:r>
          </w:p>
        </w:tc>
        <w:tc>
          <w:tcPr/>
          <w:p>
            <w:pPr>
              <w:pStyle w:val="Compact"/>
              <w:jc w:val="left"/>
            </w:pPr>
            <w:r>
              <w:t xml:space="preserve">350,000</w:t>
            </w:r>
          </w:p>
        </w:tc>
        <w:tc>
          <w:tcPr/>
          <w:p>
            <w:pPr>
              <w:pStyle w:val="Compact"/>
              <w:jc w:val="left"/>
            </w:pPr>
            <w:r>
              <w:t xml:space="preserve">10,500,000</w:t>
            </w:r>
          </w:p>
        </w:tc>
        <w:tc>
          <w:tcPr/>
          <w:p>
            <w:pPr>
              <w:pStyle w:val="Compact"/>
              <w:jc w:val="left"/>
            </w:pPr>
            <w:r>
              <w:t xml:space="preserve">1,995,000</w:t>
            </w:r>
          </w:p>
        </w:tc>
      </w:tr>
    </w:tbl>
    <w:p>
      <w:pPr>
        <w:pStyle w:val="BodyText"/>
      </w:pPr>
      <w:r>
        <w:t xml:space="preserve">Subtotal:</w:t>
      </w:r>
      <w:r>
        <w:t xml:space="preserve"> </w:t>
      </w:r>
      <w:r>
        <w:t xml:space="preserve">$76,900,000 COP</w:t>
      </w:r>
    </w:p>
    <w:p>
      <w:pPr>
        <w:pStyle w:val="BodyText"/>
      </w:pPr>
      <w:r>
        <w:t xml:space="preserve">IVA (19%):</w:t>
      </w:r>
      <w:r>
        <w:t xml:space="preserve"> </w:t>
      </w:r>
      <w:r>
        <w:t xml:space="preserve">$14,611,000 COP</w:t>
      </w:r>
    </w:p>
    <w:p>
      <w:pPr>
        <w:pStyle w:val="BodyText"/>
      </w:pPr>
      <w:r>
        <w:t xml:space="preserve">TOTAL DUE:</w:t>
      </w:r>
      <w:r>
        <w:t xml:space="preserve"> </w:t>
      </w:r>
      <w:r>
        <w:t xml:space="preserve">$91,511,000 COP</w:t>
      </w:r>
    </w:p>
    <w:bookmarkStart w:id="23"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will incur a monthly interest rate of 2% as per Colombian commercial law.</w:t>
      </w:r>
    </w:p>
    <w:p>
      <w:pPr>
        <w:numPr>
          <w:ilvl w:val="0"/>
          <w:numId w:val="1001"/>
        </w:numPr>
        <w:pStyle w:val="Compact"/>
      </w:pPr>
      <w:r>
        <w:rPr>
          <w:bCs/>
          <w:b/>
        </w:rPr>
        <w:t xml:space="preserve">Bank Details:</w:t>
      </w:r>
      <w:r>
        <w:t xml:space="preserve"> </w:t>
      </w:r>
      <w:r>
        <w:t xml:space="preserve">Please make payments via bank transfer to Bancolombia, Account Number: 123-456789-00, Account Type: Checking, in the name of Telecom Solutions Bogotá S.A.S.</w:t>
      </w:r>
    </w:p>
    <w:p>
      <w:pPr>
        <w:numPr>
          <w:ilvl w:val="0"/>
          <w:numId w:val="1001"/>
        </w:numPr>
        <w:pStyle w:val="Compact"/>
      </w:pPr>
      <w:r>
        <w:rPr>
          <w:bCs/>
          <w:b/>
        </w:rPr>
        <w:t xml:space="preserve">Validity:</w:t>
      </w:r>
      <w:r>
        <w:t xml:space="preserve"> </w:t>
      </w:r>
      <w:r>
        <w:t xml:space="preserve">This invoice is valid for the services rendered in Bogotá D.C., Colombia, during the period of October 1 to October 20, 2023.</w:t>
      </w:r>
    </w:p>
    <w:p>
      <w:pPr>
        <w:numPr>
          <w:ilvl w:val="0"/>
          <w:numId w:val="1001"/>
        </w:numPr>
        <w:pStyle w:val="Compact"/>
      </w:pPr>
      <w:r>
        <w:rPr>
          <w:bCs/>
          <w:b/>
        </w:rPr>
        <w:t xml:space="preserve">Technical Warranty:</w:t>
      </w:r>
      <w:r>
        <w:t xml:space="preserve"> </w:t>
      </w:r>
      <w:r>
        <w:t xml:space="preserve">All engineering services and configurations are covered by a 12-month warranty against defects in workmanship. Hardware warranties are subject to the manufacturer's terms.</w:t>
      </w:r>
    </w:p>
    <w:p>
      <w:pPr>
        <w:numPr>
          <w:ilvl w:val="0"/>
          <w:numId w:val="1001"/>
        </w:numPr>
        <w:pStyle w:val="Compact"/>
      </w:pPr>
      <w:r>
        <w:rPr>
          <w:bCs/>
          <w:b/>
        </w:rPr>
        <w:t xml:space="preserve">Regulatory Compliance:</w:t>
      </w:r>
      <w:r>
        <w:t xml:space="preserve"> </w:t>
      </w:r>
      <w:r>
        <w:t xml:space="preserve">All services provided by our Telecommunication Engineers comply with the regulations set forth by the Comisión de Regulación de Comunicaciones (CRC) of Colombia.</w:t>
      </w:r>
    </w:p>
    <w:p>
      <w:pPr>
        <w:numPr>
          <w:ilvl w:val="0"/>
          <w:numId w:val="1001"/>
        </w:numPr>
        <w:pStyle w:val="Compact"/>
      </w:pPr>
      <w:r>
        <w:rPr>
          <w:bCs/>
          <w:b/>
        </w:rPr>
        <w:t xml:space="preserve">Disputes:</w:t>
      </w:r>
      <w:r>
        <w:t xml:space="preserve"> </w:t>
      </w:r>
      <w:r>
        <w:t xml:space="preserve">Any disputes regarding this invoice shall be resolved through the competent courts of Bogotá D.C., Colombia.</w:t>
      </w:r>
    </w:p>
    <w:p>
      <w:pPr>
        <w:pStyle w:val="FirstParagraph"/>
      </w:pPr>
      <w:r>
        <w:rPr>
          <w:iCs/>
          <w:i/>
        </w:rPr>
        <w:t xml:space="preserve">Note: This document serves as a formal request for payment for professional telecommunication engineering services. Please retain this invoice for your accounting records and tax purposes.</w:t>
      </w:r>
    </w:p>
    <w:bookmarkEnd w:id="23"/>
    <w:p>
      <w:pPr>
        <w:pStyle w:val="BodyText"/>
      </w:pPr>
      <w:r>
        <w:rPr>
          <w:bCs/>
          <w:b/>
        </w:rPr>
        <w:t xml:space="preserve">Authorized Signature</w:t>
      </w:r>
    </w:p>
    <w:p>
      <w:pPr>
        <w:pStyle w:val="BodyText"/>
      </w:pPr>
      <w:r>
        <w:t xml:space="preserve">Ing. Carlos Rodríguez</w:t>
      </w:r>
    </w:p>
    <w:p>
      <w:pPr>
        <w:pStyle w:val="BodyText"/>
      </w:pPr>
      <w:r>
        <w:t xml:space="preserve">Lead Telecommunication Engineer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Engineering Services</dc:title>
  <dc:creator/>
  <dc:language>en</dc:language>
  <cp:keywords/>
  <dcterms:created xsi:type="dcterms:W3CDTF">2026-10-10T02:42:12Z</dcterms:created>
  <dcterms:modified xsi:type="dcterms:W3CDTF">2026-10-10T02:42:12Z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