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Telecommunication</w:t>
      </w:r>
      <w:r>
        <w:t xml:space="preserve"> </w:t>
      </w:r>
      <w:r>
        <w:t xml:space="preserve">Engineer</w:t>
      </w:r>
      <w:r>
        <w:t xml:space="preserve"> </w:t>
      </w:r>
      <w:r>
        <w:t xml:space="preserve">Services</w:t>
      </w:r>
    </w:p>
    <w:bookmarkStart w:id="20" w:name="alexnet-telecom-solutions"/>
    <w:p>
      <w:pPr>
        <w:pStyle w:val="Heading1"/>
      </w:pPr>
      <w:r>
        <w:t xml:space="preserve">AlexNet Telecom Solutions</w:t>
      </w:r>
    </w:p>
    <w:p>
      <w:pPr>
        <w:pStyle w:val="FirstParagraph"/>
      </w:pPr>
      <w:r>
        <w:rPr>
          <w:bCs/>
          <w:b/>
        </w:rPr>
        <w:t xml:space="preserve">Specialized Telecommunication Engineering Services</w:t>
      </w:r>
    </w:p>
    <w:p>
      <w:pPr>
        <w:pStyle w:val="BodyText"/>
      </w:pPr>
      <w:r>
        <w:t xml:space="preserve">Address: 45 El-Horreya Avenue, Smouha District</w:t>
      </w:r>
    </w:p>
    <w:p>
      <w:pPr>
        <w:pStyle w:val="BodyText"/>
      </w:pPr>
      <w:r>
        <w:t xml:space="preserve">Alexandria, Egypt 21526</w:t>
      </w:r>
    </w:p>
    <w:p>
      <w:pPr>
        <w:pStyle w:val="BodyText"/>
      </w:pPr>
      <w:r>
        <w:t xml:space="preserve">Tax ID: 123-456-789000</w:t>
      </w:r>
    </w:p>
    <w:p>
      <w:pPr>
        <w:pStyle w:val="BodyText"/>
      </w:pPr>
      <w:r>
        <w:t xml:space="preserve">Email: billing@alexnet-telecom.eg</w:t>
      </w:r>
    </w:p>
    <w:p>
      <w:pPr>
        <w:pStyle w:val="BodyText"/>
      </w:pPr>
      <w:r>
        <w:t xml:space="preserve">Phone: +20 3 421 5555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INV-2023-8842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Location:</w:t>
      </w:r>
      <w:r>
        <w:t xml:space="preserve"> </w:t>
      </w:r>
      <w:r>
        <w:t xml:space="preserve">Alexandria, Egypt</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Mediterranean Logistics &amp; Supply Co.</w:t>
      </w:r>
    </w:p>
    <w:p>
      <w:pPr>
        <w:pStyle w:val="BodyText"/>
      </w:pPr>
      <w:r>
        <w:rPr>
          <w:bCs/>
          <w:b/>
        </w:rPr>
        <w:t xml:space="preserve">Attn:</w:t>
      </w:r>
      <w:r>
        <w:t xml:space="preserve"> </w:t>
      </w:r>
      <w:r>
        <w:t xml:space="preserve">Procurement Department</w:t>
      </w:r>
    </w:p>
    <w:p>
      <w:pPr>
        <w:pStyle w:val="BodyText"/>
      </w:pPr>
      <w:r>
        <w:rPr>
          <w:bCs/>
          <w:b/>
        </w:rPr>
        <w:t xml:space="preserve">Address:</w:t>
      </w:r>
      <w:r>
        <w:t xml:space="preserve"> </w:t>
      </w:r>
      <w:r>
        <w:t xml:space="preserve">12 El-Nasr Street, Sidi Gaber</w:t>
      </w:r>
    </w:p>
    <w:p>
      <w:pPr>
        <w:pStyle w:val="BodyText"/>
      </w:pPr>
      <w:r>
        <w:rPr>
          <w:bCs/>
          <w:b/>
        </w:rPr>
        <w:t xml:space="preserve">City:</w:t>
      </w:r>
      <w:r>
        <w:t xml:space="preserve"> </w:t>
      </w:r>
      <w:r>
        <w:t xml:space="preserve">Alexandria, Egypt</w:t>
      </w:r>
    </w:p>
    <w:p>
      <w:pPr>
        <w:pStyle w:val="BodyText"/>
      </w:pPr>
      <w:r>
        <w:rPr>
          <w:bCs/>
          <w:b/>
        </w:rPr>
        <w:t xml:space="preserve">Country:</w:t>
      </w:r>
      <w:r>
        <w:t xml:space="preserve"> </w:t>
      </w:r>
      <w:r>
        <w:t xml:space="preserve">Egypt</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Telecommunication Engineering Services</w:t>
            </w:r>
          </w:p>
        </w:tc>
        <w:tc>
          <w:tcPr/>
          <w:p>
            <w:pPr>
              <w:pStyle w:val="Compact"/>
              <w:jc w:val="left"/>
            </w:pPr>
            <w:r>
              <w:t xml:space="preserve">Hours/Qty</w:t>
            </w:r>
          </w:p>
        </w:tc>
        <w:tc>
          <w:tcPr/>
          <w:p>
            <w:pPr>
              <w:pStyle w:val="Compact"/>
              <w:jc w:val="left"/>
            </w:pPr>
            <w:r>
              <w:t xml:space="preserve">Rate (EGP)</w:t>
            </w:r>
          </w:p>
        </w:tc>
        <w:tc>
          <w:tcPr/>
          <w:p>
            <w:pPr>
              <w:pStyle w:val="Compact"/>
              <w:jc w:val="left"/>
            </w:pPr>
            <w:r>
              <w:t xml:space="preserve">Amount (EGP)</w:t>
            </w:r>
          </w:p>
        </w:tc>
      </w:tr>
      <w:tr>
        <w:tc>
          <w:tcPr/>
          <w:p>
            <w:pPr>
              <w:pStyle w:val="Compact"/>
              <w:jc w:val="left"/>
            </w:pPr>
            <w:r>
              <w:t xml:space="preserve">1</w:t>
            </w:r>
          </w:p>
        </w:tc>
        <w:tc>
          <w:tcPr/>
          <w:p>
            <w:pPr>
              <w:pStyle w:val="Compact"/>
              <w:jc w:val="left"/>
            </w:pPr>
            <w:r>
              <w:rPr>
                <w:bCs/>
                <w:b/>
              </w:rPr>
              <w:t xml:space="preserve">Site Survey and Feasibility Study:</w:t>
            </w:r>
            <w:r>
              <w:t xml:space="preserve"> </w:t>
            </w:r>
            <w:r>
              <w:t xml:space="preserve">Comprehensive on-site assessment of the client's facility in Alexandria to determine optimal placement for fiber optic nodes and wireless access points. Includes signal propagation analysis and interference mapping specific to the coastal environment of Egypt Alexandria.</w:t>
            </w:r>
          </w:p>
        </w:tc>
        <w:tc>
          <w:tcPr/>
          <w:p>
            <w:pPr>
              <w:pStyle w:val="Compact"/>
              <w:jc w:val="left"/>
            </w:pPr>
            <w:r>
              <w:t xml:space="preserve">16</w:t>
            </w:r>
          </w:p>
        </w:tc>
        <w:tc>
          <w:tcPr/>
          <w:p>
            <w:pPr>
              <w:pStyle w:val="Compact"/>
              <w:jc w:val="left"/>
            </w:pPr>
            <w:r>
              <w:t xml:space="preserve">1,500.00</w:t>
            </w:r>
          </w:p>
        </w:tc>
        <w:tc>
          <w:tcPr/>
          <w:p>
            <w:pPr>
              <w:pStyle w:val="Compact"/>
              <w:jc w:val="left"/>
            </w:pPr>
            <w:r>
              <w:t xml:space="preserve">24,000.00</w:t>
            </w:r>
          </w:p>
        </w:tc>
      </w:tr>
      <w:tr>
        <w:tc>
          <w:tcPr/>
          <w:p>
            <w:pPr>
              <w:pStyle w:val="Compact"/>
              <w:jc w:val="left"/>
            </w:pPr>
            <w:r>
              <w:t xml:space="preserve">2</w:t>
            </w:r>
          </w:p>
        </w:tc>
        <w:tc>
          <w:tcPr/>
          <w:p>
            <w:pPr>
              <w:pStyle w:val="Compact"/>
              <w:jc w:val="left"/>
            </w:pPr>
            <w:r>
              <w:rPr>
                <w:bCs/>
                <w:b/>
              </w:rPr>
              <w:t xml:space="preserve">Network Architecture Design:</w:t>
            </w:r>
            <w:r>
              <w:t xml:space="preserve"> </w:t>
            </w:r>
            <w:r>
              <w:t xml:space="preserve">Development of a scalable Layer 3 network topology tailored for high-density data traffic. This service includes the design of VLAN segmentation, QoS policies for VoIP traffic, and redundancy protocols to ensure 99.9% uptime for critical operations in the Alexandria region.</w:t>
            </w:r>
          </w:p>
        </w:tc>
        <w:tc>
          <w:tcPr/>
          <w:p>
            <w:pPr>
              <w:pStyle w:val="Compact"/>
              <w:jc w:val="left"/>
            </w:pPr>
            <w:r>
              <w:t xml:space="preserve">20</w:t>
            </w:r>
          </w:p>
        </w:tc>
        <w:tc>
          <w:tcPr/>
          <w:p>
            <w:pPr>
              <w:pStyle w:val="Compact"/>
              <w:jc w:val="left"/>
            </w:pPr>
            <w:r>
              <w:t xml:space="preserve">1,800.00</w:t>
            </w:r>
          </w:p>
        </w:tc>
        <w:tc>
          <w:tcPr/>
          <w:p>
            <w:pPr>
              <w:pStyle w:val="Compact"/>
              <w:jc w:val="left"/>
            </w:pPr>
            <w:r>
              <w:t xml:space="preserve">36,000.00</w:t>
            </w:r>
          </w:p>
        </w:tc>
      </w:tr>
      <w:tr>
        <w:tc>
          <w:tcPr/>
          <w:p>
            <w:pPr>
              <w:pStyle w:val="Compact"/>
              <w:jc w:val="left"/>
            </w:pPr>
            <w:r>
              <w:t xml:space="preserve">3</w:t>
            </w:r>
          </w:p>
        </w:tc>
        <w:tc>
          <w:tcPr/>
          <w:p>
            <w:pPr>
              <w:pStyle w:val="Compact"/>
              <w:jc w:val="left"/>
            </w:pPr>
            <w:r>
              <w:rPr>
                <w:bCs/>
                <w:b/>
              </w:rPr>
              <w:t xml:space="preserve">Fiber Optic Infrastructure Installation:</w:t>
            </w:r>
            <w:r>
              <w:t xml:space="preserve"> </w:t>
            </w:r>
            <w:r>
              <w:t xml:space="preserve">Physical deployment of single-mode fiber optic cabling (OS2) connecting the main server room to distribution hubs. Includes trenching, conduit installation, and termination of LC/LC duplex connectors adhering to TIA/EIA-568 standards.</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4</w:t>
            </w:r>
          </w:p>
        </w:tc>
        <w:tc>
          <w:tcPr/>
          <w:p>
            <w:pPr>
              <w:pStyle w:val="Compact"/>
              <w:jc w:val="left"/>
            </w:pPr>
            <w:r>
              <w:rPr>
                <w:bCs/>
                <w:b/>
              </w:rPr>
              <w:t xml:space="preserve">Hardware Configuration and Integration:</w:t>
            </w:r>
            <w:r>
              <w:t xml:space="preserve"> </w:t>
            </w:r>
            <w:r>
              <w:t xml:space="preserve">Configuration of enterprise-grade routers, switches, and firewalls. Integration of the new infrastructure with the existing legacy systems. Setup of SD-WAN capabilities to optimize bandwidth usage across multiple internet service providers available in Egypt Alexandria.</w:t>
            </w:r>
          </w:p>
        </w:tc>
        <w:tc>
          <w:tcPr/>
          <w:p>
            <w:pPr>
              <w:pStyle w:val="Compact"/>
              <w:jc w:val="left"/>
            </w:pPr>
            <w:r>
              <w:t xml:space="preserve">24</w:t>
            </w:r>
          </w:p>
        </w:tc>
        <w:tc>
          <w:tcPr/>
          <w:p>
            <w:pPr>
              <w:pStyle w:val="Compact"/>
              <w:jc w:val="left"/>
            </w:pPr>
            <w:r>
              <w:t xml:space="preserve">2,000.00</w:t>
            </w:r>
          </w:p>
        </w:tc>
        <w:tc>
          <w:tcPr/>
          <w:p>
            <w:pPr>
              <w:pStyle w:val="Compact"/>
              <w:jc w:val="left"/>
            </w:pPr>
            <w:r>
              <w:t xml:space="preserve">48,000.00</w:t>
            </w:r>
          </w:p>
        </w:tc>
      </w:tr>
      <w:tr>
        <w:tc>
          <w:tcPr/>
          <w:p>
            <w:pPr>
              <w:pStyle w:val="Compact"/>
              <w:jc w:val="left"/>
            </w:pPr>
            <w:r>
              <w:t xml:space="preserve">5</w:t>
            </w:r>
          </w:p>
        </w:tc>
        <w:tc>
          <w:tcPr/>
          <w:p>
            <w:pPr>
              <w:pStyle w:val="Compact"/>
              <w:jc w:val="left"/>
            </w:pPr>
            <w:r>
              <w:rPr>
                <w:bCs/>
                <w:b/>
              </w:rPr>
              <w:t xml:space="preserve">VoIP System Deployment:</w:t>
            </w:r>
            <w:r>
              <w:t xml:space="preserve"> </w:t>
            </w:r>
            <w:r>
              <w:t xml:space="preserve">Installation and configuration of IP-PBX systems and desk phones. Includes SIP trunking setup, call routing logic, and integration with CRM software. Ensures crystal clear voice quality compliant with local telecommunications regulations in Egypt.</w:t>
            </w:r>
          </w:p>
        </w:tc>
        <w:tc>
          <w:tcPr/>
          <w:p>
            <w:pPr>
              <w:pStyle w:val="Compact"/>
              <w:jc w:val="left"/>
            </w:pPr>
            <w:r>
              <w:t xml:space="preserve">16</w:t>
            </w:r>
          </w:p>
        </w:tc>
        <w:tc>
          <w:tcPr/>
          <w:p>
            <w:pPr>
              <w:pStyle w:val="Compact"/>
              <w:jc w:val="left"/>
            </w:pPr>
            <w:r>
              <w:t xml:space="preserve">1,600.00</w:t>
            </w:r>
          </w:p>
        </w:tc>
        <w:tc>
          <w:tcPr/>
          <w:p>
            <w:pPr>
              <w:pStyle w:val="Compact"/>
              <w:jc w:val="left"/>
            </w:pPr>
            <w:r>
              <w:t xml:space="preserve">25,600.00</w:t>
            </w:r>
          </w:p>
        </w:tc>
      </w:tr>
      <w:tr>
        <w:tc>
          <w:tcPr/>
          <w:p>
            <w:pPr>
              <w:pStyle w:val="Compact"/>
              <w:jc w:val="left"/>
            </w:pPr>
            <w:r>
              <w:t xml:space="preserve">6</w:t>
            </w:r>
          </w:p>
        </w:tc>
        <w:tc>
          <w:tcPr/>
          <w:p>
            <w:pPr>
              <w:pStyle w:val="Compact"/>
              <w:jc w:val="left"/>
            </w:pPr>
            <w:r>
              <w:rPr>
                <w:bCs/>
                <w:b/>
              </w:rPr>
              <w:t xml:space="preserve">Testing, Commissioning, and Documentation:</w:t>
            </w:r>
            <w:r>
              <w:t xml:space="preserve"> </w:t>
            </w:r>
            <w:r>
              <w:t xml:space="preserve">End-to-end network testing using professional optical time-domain reflectometers (OTDR) and network analyzers. Generation of detailed as-built drawings, IP address schemas, and user manuals for the IT staff in Alexandria.</w:t>
            </w:r>
          </w:p>
        </w:tc>
        <w:tc>
          <w:tcPr/>
          <w:p>
            <w:pPr>
              <w:pStyle w:val="Compact"/>
              <w:jc w:val="left"/>
            </w:pPr>
            <w:r>
              <w:t xml:space="preserve">12</w:t>
            </w:r>
          </w:p>
        </w:tc>
        <w:tc>
          <w:tcPr/>
          <w:p>
            <w:pPr>
              <w:pStyle w:val="Compact"/>
              <w:jc w:val="left"/>
            </w:pPr>
            <w:r>
              <w:t xml:space="preserve">1,500.00</w:t>
            </w:r>
          </w:p>
        </w:tc>
        <w:tc>
          <w:tcPr/>
          <w:p>
            <w:pPr>
              <w:pStyle w:val="Compact"/>
              <w:jc w:val="left"/>
            </w:pPr>
            <w:r>
              <w:t xml:space="preserve">18,000.00</w:t>
            </w:r>
          </w:p>
        </w:tc>
      </w:tr>
    </w:tbl>
    <w:p>
      <w:pPr>
        <w:pStyle w:val="BodyText"/>
      </w:pPr>
      <w:r>
        <w:t xml:space="preserve">Subtotal:</w:t>
      </w:r>
      <w:r>
        <w:t xml:space="preserve"> </w:t>
      </w:r>
      <w:r>
        <w:t xml:space="preserve">200,000.00 EGP</w:t>
      </w:r>
    </w:p>
    <w:p>
      <w:pPr>
        <w:pStyle w:val="BodyText"/>
      </w:pPr>
      <w:r>
        <w:t xml:space="preserve">VAT (14%):</w:t>
      </w:r>
      <w:r>
        <w:t xml:space="preserve"> </w:t>
      </w:r>
      <w:r>
        <w:t xml:space="preserve">28,000.00 EGP</w:t>
      </w:r>
    </w:p>
    <w:p>
      <w:pPr>
        <w:pStyle w:val="BodyText"/>
      </w:pPr>
      <w:r>
        <w:t xml:space="preserve">Total Due:</w:t>
      </w:r>
      <w:r>
        <w:t xml:space="preserve"> </w:t>
      </w:r>
      <w:r>
        <w:t xml:space="preserve">228,000.00 EGP</w:t>
      </w:r>
    </w:p>
    <w:bookmarkStart w:id="23" w:name="payment-terms-and-banking-information"/>
    <w:p>
      <w:pPr>
        <w:pStyle w:val="Heading4"/>
      </w:pPr>
      <w:r>
        <w:t xml:space="preserve">Payment Terms and Banking Information:</w:t>
      </w:r>
    </w:p>
    <w:p>
      <w:pPr>
        <w:pStyle w:val="FirstParagraph"/>
      </w:pPr>
      <w:r>
        <w:t xml:space="preserve">Payment is due within 30 days of the invoice date. Please make payments via bank transfer to the following account:</w:t>
      </w:r>
    </w:p>
    <w:p>
      <w:pPr>
        <w:pStyle w:val="BodyText"/>
      </w:pPr>
      <w:r>
        <w:rPr>
          <w:bCs/>
          <w:b/>
        </w:rPr>
        <w:t xml:space="preserve">Bank Name:</w:t>
      </w:r>
      <w:r>
        <w:t xml:space="preserve"> </w:t>
      </w:r>
      <w:r>
        <w:t xml:space="preserve">National Bank of Egypt (NBE)</w:t>
      </w:r>
    </w:p>
    <w:p>
      <w:pPr>
        <w:pStyle w:val="BodyText"/>
      </w:pPr>
      <w:r>
        <w:rPr>
          <w:bCs/>
          <w:b/>
        </w:rPr>
        <w:t xml:space="preserve">Branch:</w:t>
      </w:r>
      <w:r>
        <w:t xml:space="preserve"> </w:t>
      </w:r>
      <w:r>
        <w:t xml:space="preserve">Smouha Branch, Alexandria</w:t>
      </w:r>
    </w:p>
    <w:p>
      <w:pPr>
        <w:pStyle w:val="BodyText"/>
      </w:pPr>
      <w:r>
        <w:rPr>
          <w:bCs/>
          <w:b/>
        </w:rPr>
        <w:t xml:space="preserve">Account Name:</w:t>
      </w:r>
      <w:r>
        <w:t xml:space="preserve"> </w:t>
      </w:r>
      <w:r>
        <w:t xml:space="preserve">AlexNet Telecom Solutions</w:t>
      </w:r>
    </w:p>
    <w:p>
      <w:pPr>
        <w:pStyle w:val="BodyText"/>
      </w:pPr>
      <w:r>
        <w:rPr>
          <w:bCs/>
          <w:b/>
        </w:rPr>
        <w:t xml:space="preserve">Account Number:</w:t>
      </w:r>
      <w:r>
        <w:t xml:space="preserve"> </w:t>
      </w:r>
      <w:r>
        <w:t xml:space="preserve">1001234567890</w:t>
      </w:r>
    </w:p>
    <w:p>
      <w:pPr>
        <w:pStyle w:val="BodyText"/>
      </w:pPr>
      <w:r>
        <w:rPr>
          <w:bCs/>
          <w:b/>
        </w:rPr>
        <w:t xml:space="preserve">SWIFT Code:</w:t>
      </w:r>
      <w:r>
        <w:t xml:space="preserve"> </w:t>
      </w:r>
      <w:r>
        <w:t xml:space="preserve">NBEGEGCX</w:t>
      </w:r>
    </w:p>
    <w:p>
      <w:pPr>
        <w:pStyle w:val="BodyText"/>
      </w:pPr>
      <w:r>
        <w:rPr>
          <w:bCs/>
          <w:b/>
        </w:rPr>
        <w:t xml:space="preserve">IBAN:</w:t>
      </w:r>
      <w:r>
        <w:t xml:space="preserve"> </w:t>
      </w:r>
      <w:r>
        <w:t xml:space="preserve">EG38 0019 0001 0000 0001 2345 678</w:t>
      </w:r>
    </w:p>
    <w:bookmarkEnd w:id="23"/>
    <w:bookmarkStart w:id="24" w:name="service-notes"/>
    <w:p>
      <w:pPr>
        <w:pStyle w:val="Heading4"/>
      </w:pPr>
      <w:r>
        <w:t xml:space="preserve">Service Notes:</w:t>
      </w:r>
    </w:p>
    <w:p>
      <w:pPr>
        <w:pStyle w:val="FirstParagraph"/>
      </w:pPr>
      <w:r>
        <w:t xml:space="preserve">This invoice covers professional services rendered by certified Telecommunication Engineers specializing in high-speed data and voice infrastructure. All work performed complies with the technical standards set by the National Telecommunications Regulatory Authority (NTRA) of Egypt. The scope of work was executed specifically to meet the connectivity demands of the Alexandria business district, ensuring robust performance against local environmental factors.</w:t>
      </w:r>
    </w:p>
    <w:p>
      <w:pPr>
        <w:pStyle w:val="BodyText"/>
      </w:pPr>
      <w:r>
        <w:t xml:space="preserve">Any late payments will incur a penalty of 2% per month on the outstanding balance. Please reference the Invoice Number (INV-2023-8842) when making your payment.</w:t>
      </w:r>
    </w:p>
    <w:bookmarkEnd w:id="24"/>
    <w:p>
      <w:pPr>
        <w:pStyle w:val="BodyText"/>
      </w:pPr>
      <w:r>
        <w:t xml:space="preserve">Authorized Signature (Provider)</w:t>
      </w:r>
    </w:p>
    <w:p>
      <w:pPr>
        <w:pStyle w:val="BodyText"/>
      </w:pPr>
      <w:r>
        <w:rPr>
          <w:bCs/>
          <w:b/>
        </w:rPr>
        <w:t xml:space="preserve">Ahmed Hassan</w:t>
      </w:r>
      <w:r>
        <w:br/>
      </w:r>
      <w:r>
        <w:t xml:space="preserve">Senior Telecommunication Engineer</w:t>
      </w:r>
    </w:p>
    <w:p>
      <w:pPr>
        <w:pStyle w:val="BodyText"/>
      </w:pPr>
      <w:r>
        <w:t xml:space="preserve">Received By (Client)</w:t>
      </w:r>
    </w:p>
    <w:p>
      <w:pPr>
        <w:pStyle w:val="BodyText"/>
      </w:pPr>
      <w:r>
        <w:rPr>
          <w:bCs/>
          <w:b/>
        </w:rPr>
        <w:t xml:space="preserve">Date:</w:t>
      </w:r>
      <w:r>
        <w:t xml:space="preserve"> </w:t>
      </w:r>
      <w:r>
        <w:t xml:space="preserve">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Telecommunication Engineer Services</dc:title>
  <dc:creator/>
  <dc:language>en</dc:language>
  <cp:keywords/>
  <dcterms:created xsi:type="dcterms:W3CDTF">2026-10-10T08:02:17Z</dcterms:created>
  <dcterms:modified xsi:type="dcterms:W3CDTF">2026-10-10T08:02:17Z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