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Telecommunication</w:t>
      </w:r>
      <w:r>
        <w:t xml:space="preserve"> </w:t>
      </w:r>
      <w:r>
        <w:t xml:space="preserve">Engineering</w:t>
      </w:r>
      <w:r>
        <w:t xml:space="preserve"> </w:t>
      </w:r>
      <w:r>
        <w:t xml:space="preserve">Services</w:t>
      </w:r>
      <w:r>
        <w:t xml:space="preserve"> </w:t>
      </w:r>
      <w:r>
        <w:t xml:space="preserve">Invoice</w:t>
      </w:r>
      <w:r>
        <w:t xml:space="preserve"> </w:t>
      </w:r>
      <w:r>
        <w:t xml:space="preserve">-</w:t>
      </w:r>
      <w:r>
        <w:t xml:space="preserve"> </w:t>
      </w:r>
      <w:r>
        <w:t xml:space="preserve">Cairo,</w:t>
      </w:r>
      <w:r>
        <w:t xml:space="preserve"> </w:t>
      </w:r>
      <w:r>
        <w:t xml:space="preserve">Egypt</w:t>
      </w:r>
    </w:p>
    <w:bookmarkStart w:id="20" w:name="nilelink-telecom-solutions"/>
    <w:p>
      <w:pPr>
        <w:pStyle w:val="Heading1"/>
      </w:pPr>
      <w:r>
        <w:t xml:space="preserve">NileLink Telecom Solutions</w:t>
      </w:r>
    </w:p>
    <w:p>
      <w:pPr>
        <w:pStyle w:val="FirstParagraph"/>
      </w:pPr>
      <w:r>
        <w:rPr>
          <w:bCs/>
          <w:b/>
        </w:rPr>
        <w:t xml:space="preserve">Specialized Telecommunication Engineering Services</w:t>
      </w:r>
    </w:p>
    <w:p>
      <w:pPr>
        <w:pStyle w:val="BodyText"/>
      </w:pPr>
      <w:r>
        <w:t xml:space="preserve">15th of May Street, Nasr City</w:t>
      </w:r>
    </w:p>
    <w:p>
      <w:pPr>
        <w:pStyle w:val="BodyText"/>
      </w:pPr>
      <w:r>
        <w:t xml:space="preserve">Cairo, Egypt 11351</w:t>
      </w:r>
    </w:p>
    <w:p>
      <w:pPr>
        <w:pStyle w:val="BodyText"/>
      </w:pPr>
      <w:r>
        <w:t xml:space="preserve">Tax Registration Number (TRN): EG-123456789012345</w:t>
      </w:r>
    </w:p>
    <w:p>
      <w:pPr>
        <w:pStyle w:val="BodyText"/>
      </w:pPr>
      <w:r>
        <w:t xml:space="preserve">Phone: +20 2 2412 3456</w:t>
      </w:r>
    </w:p>
    <w:p>
      <w:pPr>
        <w:pStyle w:val="BodyText"/>
      </w:pPr>
      <w:r>
        <w:t xml:space="preserve">Email: billing@nilelink-eg.com</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INV-CAI-2023-0892</w:t>
      </w:r>
    </w:p>
    <w:p>
      <w:pPr>
        <w:pStyle w:val="BodyText"/>
      </w:pPr>
      <w:r>
        <w:rPr>
          <w:bCs/>
          <w:b/>
        </w:rPr>
        <w:t xml:space="preserve">Date:</w:t>
      </w:r>
      <w:r>
        <w:t xml:space="preserve"> </w:t>
      </w:r>
      <w:r>
        <w:t xml:space="preserve">October 24, 2023</w:t>
      </w:r>
    </w:p>
    <w:p>
      <w:pPr>
        <w:pStyle w:val="BodyText"/>
      </w:pPr>
      <w:r>
        <w:rPr>
          <w:bCs/>
          <w:b/>
        </w:rPr>
        <w:t xml:space="preserve">Due Date:</w:t>
      </w:r>
      <w:r>
        <w:t xml:space="preserve"> </w:t>
      </w:r>
      <w:r>
        <w:t xml:space="preserve">November 24, 2023</w:t>
      </w:r>
    </w:p>
    <w:bookmarkEnd w:id="21"/>
    <w:bookmarkStart w:id="22" w:name="bill-to"/>
    <w:p>
      <w:pPr>
        <w:pStyle w:val="Heading3"/>
      </w:pPr>
      <w:r>
        <w:t xml:space="preserve">Bill To:</w:t>
      </w:r>
    </w:p>
    <w:p>
      <w:pPr>
        <w:pStyle w:val="FirstParagraph"/>
      </w:pPr>
      <w:r>
        <w:rPr>
          <w:bCs/>
          <w:b/>
        </w:rPr>
        <w:t xml:space="preserve">Cairo Smart Infrastructure Ltd.</w:t>
      </w:r>
    </w:p>
    <w:p>
      <w:pPr>
        <w:pStyle w:val="BodyText"/>
      </w:pPr>
      <w:r>
        <w:t xml:space="preserve">Attn: Procurement Department</w:t>
      </w:r>
    </w:p>
    <w:p>
      <w:pPr>
        <w:pStyle w:val="BodyText"/>
      </w:pPr>
      <w:r>
        <w:t xml:space="preserve">26th of July Corridor, Dokki</w:t>
      </w:r>
    </w:p>
    <w:p>
      <w:pPr>
        <w:pStyle w:val="BodyText"/>
      </w:pPr>
      <w:r>
        <w:t xml:space="preserve">Giza Governorate, Cairo, Egypt</w:t>
      </w:r>
    </w:p>
    <w:p>
      <w:pPr>
        <w:pStyle w:val="BodyText"/>
      </w:pPr>
      <w:r>
        <w:t xml:space="preserve">TRN: EG-987654321098765</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Fiber Optic Backbone Expansion - Phase II</w:t>
      </w:r>
    </w:p>
    <w:p>
      <w:pPr>
        <w:pStyle w:val="BodyText"/>
      </w:pPr>
      <w:r>
        <w:rPr>
          <w:bCs/>
          <w:b/>
        </w:rPr>
        <w:t xml:space="preserve">Location:</w:t>
      </w:r>
      <w:r>
        <w:t xml:space="preserve"> </w:t>
      </w:r>
      <w:r>
        <w:t xml:space="preserve">New Administrative Capital &amp; Cairo Ring Road</w:t>
      </w:r>
    </w:p>
    <w:p>
      <w:pPr>
        <w:pStyle w:val="BodyText"/>
      </w:pPr>
      <w:r>
        <w:rPr>
          <w:bCs/>
          <w:b/>
        </w:rPr>
        <w:t xml:space="preserve">Service Period:</w:t>
      </w:r>
      <w:r>
        <w:t xml:space="preserve"> </w:t>
      </w:r>
      <w:r>
        <w:t xml:space="preserve">October 1, 2023 - October 31, 2023</w:t>
      </w:r>
    </w:p>
    <w:p>
      <w:pPr>
        <w:pStyle w:val="BodyText"/>
      </w:pPr>
      <w:r>
        <w:rPr>
          <w:bCs/>
          <w:b/>
        </w:rPr>
        <w:t xml:space="preserve">Contract Reference:</w:t>
      </w:r>
      <w:r>
        <w:t xml:space="preserve"> </w:t>
      </w:r>
      <w:r>
        <w:t xml:space="preserve">CLT-TEC-2023-004</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Telecommunication Engineering Services</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1</w:t>
            </w:r>
          </w:p>
        </w:tc>
        <w:tc>
          <w:tcPr/>
          <w:p>
            <w:pPr>
              <w:pStyle w:val="Compact"/>
              <w:jc w:val="left"/>
            </w:pPr>
            <w:r>
              <w:rPr>
                <w:bCs/>
                <w:b/>
              </w:rPr>
              <w:t xml:space="preserve">Senior Telecommunication Engineer Consultation:</w:t>
            </w:r>
            <w:r>
              <w:t xml:space="preserve"> </w:t>
            </w:r>
            <w:r>
              <w:t xml:space="preserve">Comprehensive site survey and feasibility study for the deployment of 5G small cells along the Cairo Ring Road. Includes RF propagation analysis, interference mitigation strategies, and compliance verification with the National Telecom Regulatory Authority (NTRA) standards.</w:t>
            </w:r>
          </w:p>
        </w:tc>
        <w:tc>
          <w:tcPr/>
          <w:p>
            <w:pPr>
              <w:pStyle w:val="Compact"/>
              <w:jc w:val="left"/>
            </w:pPr>
            <w:r>
              <w:t xml:space="preserve">40 Hours</w:t>
            </w:r>
          </w:p>
        </w:tc>
        <w:tc>
          <w:tcPr/>
          <w:p>
            <w:pPr>
              <w:pStyle w:val="Compact"/>
              <w:jc w:val="left"/>
            </w:pPr>
            <w:r>
              <w:t xml:space="preserve">1,500.00</w:t>
            </w:r>
          </w:p>
        </w:tc>
        <w:tc>
          <w:tcPr/>
          <w:p>
            <w:pPr>
              <w:pStyle w:val="Compact"/>
              <w:jc w:val="left"/>
            </w:pPr>
            <w:r>
              <w:t xml:space="preserve">60,000.00</w:t>
            </w:r>
          </w:p>
        </w:tc>
      </w:tr>
      <w:tr>
        <w:tc>
          <w:tcPr/>
          <w:p>
            <w:pPr>
              <w:pStyle w:val="Compact"/>
              <w:jc w:val="left"/>
            </w:pPr>
            <w:r>
              <w:t xml:space="preserve">2</w:t>
            </w:r>
          </w:p>
        </w:tc>
        <w:tc>
          <w:tcPr/>
          <w:p>
            <w:pPr>
              <w:pStyle w:val="Compact"/>
              <w:jc w:val="left"/>
            </w:pPr>
            <w:r>
              <w:rPr>
                <w:bCs/>
                <w:b/>
              </w:rPr>
              <w:t xml:space="preserve">Fiber Optic Network Design:</w:t>
            </w:r>
            <w:r>
              <w:t xml:space="preserve"> </w:t>
            </w:r>
            <w:r>
              <w:t xml:space="preserve">Detailed engineering design for single-mode fiber optic cabling infrastructure connecting the new data centers in the New Administrative Capital to the existing core network in Nasr City. Includes topology mapping, attenuation calculations, and OSP (Outside Plant) routing plans.</w:t>
            </w:r>
          </w:p>
        </w:tc>
        <w:tc>
          <w:tcPr/>
          <w:p>
            <w:pPr>
              <w:pStyle w:val="Compact"/>
              <w:jc w:val="left"/>
            </w:pPr>
            <w:r>
              <w:t xml:space="preserve">1 Lot</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3</w:t>
            </w:r>
          </w:p>
        </w:tc>
        <w:tc>
          <w:tcPr/>
          <w:p>
            <w:pPr>
              <w:pStyle w:val="Compact"/>
              <w:jc w:val="left"/>
            </w:pPr>
            <w:r>
              <w:rPr>
                <w:bCs/>
                <w:b/>
              </w:rPr>
              <w:t xml:space="preserve">Hardware Configuration &amp; Integration:</w:t>
            </w:r>
            <w:r>
              <w:t xml:space="preserve"> </w:t>
            </w:r>
            <w:r>
              <w:t xml:space="preserve">Configuration of Cisco ASR routers and Juniper EX switches for the edge network. Includes VLAN segmentation, QoS policy implementation for VoIP traffic, and BGP routing protocol setup to ensure high availability and redundancy across the Egyptian national grid.</w:t>
            </w:r>
          </w:p>
        </w:tc>
        <w:tc>
          <w:tcPr/>
          <w:p>
            <w:pPr>
              <w:pStyle w:val="Compact"/>
              <w:jc w:val="left"/>
            </w:pPr>
            <w:r>
              <w:t xml:space="preserve">12 Units</w:t>
            </w:r>
          </w:p>
        </w:tc>
        <w:tc>
          <w:tcPr/>
          <w:p>
            <w:pPr>
              <w:pStyle w:val="Compact"/>
              <w:jc w:val="left"/>
            </w:pPr>
            <w:r>
              <w:t xml:space="preserve">3,500.00</w:t>
            </w:r>
          </w:p>
        </w:tc>
        <w:tc>
          <w:tcPr/>
          <w:p>
            <w:pPr>
              <w:pStyle w:val="Compact"/>
              <w:jc w:val="left"/>
            </w:pPr>
            <w:r>
              <w:t xml:space="preserve">42,000.00</w:t>
            </w:r>
          </w:p>
        </w:tc>
      </w:tr>
      <w:tr>
        <w:tc>
          <w:tcPr/>
          <w:p>
            <w:pPr>
              <w:pStyle w:val="Compact"/>
              <w:jc w:val="left"/>
            </w:pPr>
            <w:r>
              <w:t xml:space="preserve">4</w:t>
            </w:r>
          </w:p>
        </w:tc>
        <w:tc>
          <w:tcPr/>
          <w:p>
            <w:pPr>
              <w:pStyle w:val="Compact"/>
              <w:jc w:val="left"/>
            </w:pPr>
            <w:r>
              <w:rPr>
                <w:bCs/>
                <w:b/>
              </w:rPr>
              <w:t xml:space="preserve">Signal Testing &amp; Optimization:</w:t>
            </w:r>
            <w:r>
              <w:t xml:space="preserve"> </w:t>
            </w:r>
            <w:r>
              <w:t xml:space="preserve">On-site testing of microwave links and radio frequency signals using specialized spectrum analyzers. Optimization of antenna tilt and azimuth to maximize coverage density in high-traffic areas of downtown Cairo and minimize signal dropouts.</w:t>
            </w:r>
          </w:p>
        </w:tc>
        <w:tc>
          <w:tcPr/>
          <w:p>
            <w:pPr>
              <w:pStyle w:val="Compact"/>
              <w:jc w:val="left"/>
            </w:pPr>
            <w:r>
              <w:t xml:space="preserve">20 Hours</w:t>
            </w:r>
          </w:p>
        </w:tc>
        <w:tc>
          <w:tcPr/>
          <w:p>
            <w:pPr>
              <w:pStyle w:val="Compact"/>
              <w:jc w:val="left"/>
            </w:pPr>
            <w:r>
              <w:t xml:space="preserve">1,200.00</w:t>
            </w:r>
          </w:p>
        </w:tc>
        <w:tc>
          <w:tcPr/>
          <w:p>
            <w:pPr>
              <w:pStyle w:val="Compact"/>
              <w:jc w:val="left"/>
            </w:pPr>
            <w:r>
              <w:t xml:space="preserve">24,000.00</w:t>
            </w:r>
          </w:p>
        </w:tc>
      </w:tr>
      <w:tr>
        <w:tc>
          <w:tcPr/>
          <w:p>
            <w:pPr>
              <w:pStyle w:val="Compact"/>
              <w:jc w:val="left"/>
            </w:pPr>
            <w:r>
              <w:t xml:space="preserve">5</w:t>
            </w:r>
          </w:p>
        </w:tc>
        <w:tc>
          <w:tcPr/>
          <w:p>
            <w:pPr>
              <w:pStyle w:val="Compact"/>
              <w:jc w:val="left"/>
            </w:pPr>
            <w:r>
              <w:rPr>
                <w:bCs/>
                <w:b/>
              </w:rPr>
              <w:t xml:space="preserve">Technical Documentation &amp; Reporting:</w:t>
            </w:r>
            <w:r>
              <w:t xml:space="preserve"> </w:t>
            </w:r>
            <w:r>
              <w:t xml:space="preserve">Preparation of as-built drawings, network topology diagrams, and technical handover manuals. Includes a detailed report on latency, jitter, and packet loss metrics to ensure service level agreement (SLA) compliance for enterprise clients in Egypt.</w:t>
            </w:r>
          </w:p>
        </w:tc>
        <w:tc>
          <w:tcPr/>
          <w:p>
            <w:pPr>
              <w:pStyle w:val="Compact"/>
              <w:jc w:val="left"/>
            </w:pPr>
            <w:r>
              <w:t xml:space="preserve">1 Lot</w:t>
            </w:r>
          </w:p>
        </w:tc>
        <w:tc>
          <w:tcPr/>
          <w:p>
            <w:pPr>
              <w:pStyle w:val="Compact"/>
              <w:jc w:val="left"/>
            </w:pPr>
            <w:r>
              <w:t xml:space="preserve">15,000.00</w:t>
            </w:r>
          </w:p>
        </w:tc>
        <w:tc>
          <w:tcPr/>
          <w:p>
            <w:pPr>
              <w:pStyle w:val="Compact"/>
              <w:jc w:val="left"/>
            </w:pPr>
            <w:r>
              <w:t xml:space="preserve">15,000.00</w:t>
            </w:r>
          </w:p>
        </w:tc>
      </w:tr>
    </w:tbl>
    <w:p>
      <w:pPr>
        <w:pStyle w:val="BodyText"/>
      </w:pPr>
      <w:r>
        <w:t xml:space="preserve">Subtotal:</w:t>
      </w:r>
      <w:r>
        <w:t xml:space="preserve"> </w:t>
      </w:r>
      <w:r>
        <w:t xml:space="preserve">186,000.00 EGP</w:t>
      </w:r>
    </w:p>
    <w:p>
      <w:pPr>
        <w:pStyle w:val="BodyText"/>
      </w:pPr>
      <w:r>
        <w:t xml:space="preserve">VAT (14% - Egypt Standard Rate):</w:t>
      </w:r>
      <w:r>
        <w:t xml:space="preserve"> </w:t>
      </w:r>
      <w:r>
        <w:t xml:space="preserve">26,040.00 EGP</w:t>
      </w:r>
    </w:p>
    <w:p>
      <w:pPr>
        <w:pStyle w:val="BodyText"/>
      </w:pPr>
      <w:r>
        <w:t xml:space="preserve">TOTAL DUE:</w:t>
      </w:r>
      <w:r>
        <w:t xml:space="preserve"> </w:t>
      </w:r>
      <w:r>
        <w:t xml:space="preserve">212,040.00 EGP</w:t>
      </w:r>
    </w:p>
    <w:bookmarkStart w:id="24" w:name="payment-instructions"/>
    <w:p>
      <w:pPr>
        <w:pStyle w:val="Heading3"/>
      </w:pPr>
      <w:r>
        <w:t xml:space="preserve">Payment Instructions:</w:t>
      </w:r>
    </w:p>
    <w:p>
      <w:pPr>
        <w:pStyle w:val="FirstParagraph"/>
      </w:pPr>
      <w:r>
        <w:t xml:space="preserve">Please remit payment within 30 days of the invoice date. Late payments may incur a penalty of 2% per month as per Egyptian commercial law.</w:t>
      </w:r>
    </w:p>
    <w:p>
      <w:pPr>
        <w:pStyle w:val="BodyText"/>
      </w:pPr>
      <w:r>
        <w:rPr>
          <w:bCs/>
          <w:b/>
        </w:rPr>
        <w:t xml:space="preserve">Bank Name:</w:t>
      </w:r>
      <w:r>
        <w:t xml:space="preserve"> </w:t>
      </w:r>
      <w:r>
        <w:t xml:space="preserve">National Bank of Egypt (NBE)</w:t>
      </w:r>
    </w:p>
    <w:p>
      <w:pPr>
        <w:pStyle w:val="BodyText"/>
      </w:pPr>
      <w:r>
        <w:rPr>
          <w:bCs/>
          <w:b/>
        </w:rPr>
        <w:t xml:space="preserve">Branch:</w:t>
      </w:r>
      <w:r>
        <w:t xml:space="preserve"> </w:t>
      </w:r>
      <w:r>
        <w:t xml:space="preserve">Nasr City Branch</w:t>
      </w:r>
    </w:p>
    <w:p>
      <w:pPr>
        <w:pStyle w:val="BodyText"/>
      </w:pPr>
      <w:r>
        <w:rPr>
          <w:bCs/>
          <w:b/>
        </w:rPr>
        <w:t xml:space="preserve">Account Name:</w:t>
      </w:r>
      <w:r>
        <w:t xml:space="preserve"> </w:t>
      </w:r>
      <w:r>
        <w:t xml:space="preserve">NileLink Telecom Solutions</w:t>
      </w:r>
    </w:p>
    <w:p>
      <w:pPr>
        <w:pStyle w:val="BodyText"/>
      </w:pPr>
      <w:r>
        <w:rPr>
          <w:bCs/>
          <w:b/>
        </w:rPr>
        <w:t xml:space="preserve">Account Number:</w:t>
      </w:r>
      <w:r>
        <w:t xml:space="preserve"> </w:t>
      </w:r>
      <w:r>
        <w:t xml:space="preserve">1001234567890</w:t>
      </w:r>
    </w:p>
    <w:p>
      <w:pPr>
        <w:pStyle w:val="BodyText"/>
      </w:pPr>
      <w:r>
        <w:rPr>
          <w:bCs/>
          <w:b/>
        </w:rPr>
        <w:t xml:space="preserve">IBAN:</w:t>
      </w:r>
      <w:r>
        <w:t xml:space="preserve"> </w:t>
      </w:r>
      <w:r>
        <w:t xml:space="preserve">EG38 0019 0001 0000 0001 2345 678</w:t>
      </w:r>
    </w:p>
    <w:p>
      <w:pPr>
        <w:pStyle w:val="BodyText"/>
      </w:pPr>
      <w:r>
        <w:rPr>
          <w:bCs/>
          <w:b/>
        </w:rPr>
        <w:t xml:space="preserve">SWIFT Code:</w:t>
      </w:r>
      <w:r>
        <w:t xml:space="preserve"> </w:t>
      </w:r>
      <w:r>
        <w:t xml:space="preserve">NBEGEGCX</w:t>
      </w:r>
    </w:p>
    <w:bookmarkEnd w:id="24"/>
    <w:bookmarkStart w:id="25" w:name="terms-and-conditions"/>
    <w:p>
      <w:pPr>
        <w:pStyle w:val="Heading3"/>
      </w:pPr>
      <w:r>
        <w:t xml:space="preserve">Terms and Conditions:</w:t>
      </w:r>
    </w:p>
    <w:p>
      <w:pPr>
        <w:numPr>
          <w:ilvl w:val="0"/>
          <w:numId w:val="1001"/>
        </w:numPr>
        <w:pStyle w:val="Compact"/>
      </w:pPr>
      <w:r>
        <w:t xml:space="preserve">All services provided by our Telecommunication Engineers are subject to the technical specifications agreed upon in the master service contract.</w:t>
      </w:r>
    </w:p>
    <w:p>
      <w:pPr>
        <w:numPr>
          <w:ilvl w:val="0"/>
          <w:numId w:val="1001"/>
        </w:numPr>
        <w:pStyle w:val="Compact"/>
      </w:pPr>
      <w:r>
        <w:t xml:space="preserve">Prices are quoted in Egyptian Pounds (EGP) and are inclusive of all labor costs but exclusive of VAT unless otherwise stated.</w:t>
      </w:r>
    </w:p>
    <w:p>
      <w:pPr>
        <w:numPr>
          <w:ilvl w:val="0"/>
          <w:numId w:val="1001"/>
        </w:numPr>
        <w:pStyle w:val="Compact"/>
      </w:pPr>
      <w:r>
        <w:t xml:space="preserve">Any changes to the scope of work, such as additional site visits in remote areas of Cairo or Giza, will be billed at the hourly rate specified in the contract.</w:t>
      </w:r>
    </w:p>
    <w:p>
      <w:pPr>
        <w:numPr>
          <w:ilvl w:val="0"/>
          <w:numId w:val="1001"/>
        </w:numPr>
        <w:pStyle w:val="Compact"/>
      </w:pPr>
      <w:r>
        <w:t xml:space="preserve">Payment is due upon receipt of this invoice. Disputes regarding the quality of engineering services must be raised within 7 days of project completion.</w:t>
      </w:r>
    </w:p>
    <w:p>
      <w:pPr>
        <w:numPr>
          <w:ilvl w:val="0"/>
          <w:numId w:val="1001"/>
        </w:numPr>
        <w:pStyle w:val="Compact"/>
      </w:pPr>
      <w:r>
        <w:t xml:space="preserve">This invoice is issued in accordance with the Egyptian Tax Authority's e-invoicing regulations.</w:t>
      </w:r>
    </w:p>
    <w:bookmarkEnd w:id="25"/>
    <w:p>
      <w:pPr>
        <w:pStyle w:val="FirstParagraph"/>
      </w:pPr>
      <w:r>
        <w:rPr>
          <w:bCs/>
          <w:b/>
        </w:rPr>
        <w:t xml:space="preserve">Authorized Signature (Provider)</w:t>
      </w:r>
    </w:p>
    <w:p>
      <w:pPr>
        <w:pStyle w:val="BodyText"/>
      </w:pPr>
      <w:r>
        <w:t xml:space="preserve">Ahmed Hassan</w:t>
      </w:r>
    </w:p>
    <w:p>
      <w:pPr>
        <w:pStyle w:val="BodyText"/>
      </w:pPr>
      <w:r>
        <w:t xml:space="preserve">Lead Telecommunication Engineer</w:t>
      </w:r>
    </w:p>
    <w:p>
      <w:pPr>
        <w:pStyle w:val="BodyText"/>
      </w:pPr>
      <w:r>
        <w:rPr>
          <w:bCs/>
          <w:b/>
        </w:rPr>
        <w:t xml:space="preserve">Received By (Client)</w:t>
      </w:r>
    </w:p>
    <w:p>
      <w:pPr>
        <w:pStyle w:val="BodyText"/>
      </w:pPr>
      <w:r>
        <w:t xml:space="preserve">__________________________</w:t>
      </w:r>
    </w:p>
    <w:p>
      <w:pPr>
        <w:pStyle w:val="BodyText"/>
      </w:pPr>
      <w:r>
        <w:t xml:space="preserve">Date: ____________________</w:t>
      </w:r>
    </w:p>
    <w:p>
      <w:pPr>
        <w:pStyle w:val="BodyText"/>
      </w:pPr>
      <w:r>
        <w:t xml:space="preserve">NileLink Telecom Solutions © 2023. All Rights Reserved.</w:t>
      </w:r>
    </w:p>
    <w:p>
      <w:pPr>
        <w:pStyle w:val="BodyText"/>
      </w:pPr>
      <w:r>
        <w:t xml:space="preserve">Registered Office: 15th of May Street, Nasr City, Cairo, Egypt.</w:t>
      </w:r>
    </w:p>
    <w:p>
      <w:pPr>
        <w:pStyle w:val="BodyText"/>
      </w:pPr>
      <w:r>
        <w:t xml:space="preserve">Thank you for choosing our expert Telecommunication Engineering services in Egypt.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Telecommunication Engineering Services Invoice - Cairo, Egypt</dc:title>
  <dc:creator/>
  <dc:language>en</dc:language>
  <cp:keywords/>
  <dcterms:created xsi:type="dcterms:W3CDTF">2026-10-10T01:15:54Z</dcterms:created>
  <dcterms:modified xsi:type="dcterms:W3CDTF">2026-10-10T01:15:54Z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