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netconnect-engineering-gmbh"/>
    <w:p>
      <w:pPr>
        <w:pStyle w:val="Heading1"/>
      </w:pPr>
      <w:r>
        <w:t xml:space="preserve">NetConnect Engineering GmbH</w:t>
      </w:r>
    </w:p>
    <w:p>
      <w:pPr>
        <w:pStyle w:val="FirstParagraph"/>
      </w:pPr>
      <w:r>
        <w:t xml:space="preserve">Specialized Telecommunication Infrastructure Solutions</w:t>
      </w:r>
    </w:p>
    <w:p>
      <w:pPr>
        <w:pStyle w:val="BodyText"/>
      </w:pPr>
      <w:r>
        <w:t xml:space="preserve">Friedrichstraße 123, 10117 Berlin, Germany</w:t>
      </w:r>
    </w:p>
    <w:p>
      <w:pPr>
        <w:pStyle w:val="BodyText"/>
      </w:pPr>
      <w:r>
        <w:t xml:space="preserve">USt-IdNr.: DE123456789 | HRB 987654 B</w:t>
      </w:r>
    </w:p>
    <w:p>
      <w:pPr>
        <w:pStyle w:val="BodyText"/>
      </w:pPr>
      <w:r>
        <w:t xml:space="preserve">Phone: +49 30 12345678 | Email: billing@netconnect-berlin.de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Alpha-Fiber-Berlin</w:t>
      </w:r>
    </w:p>
    <w:bookmarkEnd w:id="21"/>
    <w:bookmarkStart w:id="22" w:name="bill-to"/>
    <w:p>
      <w:pPr>
        <w:pStyle w:val="Heading3"/>
      </w:pPr>
      <w:r>
        <w:t xml:space="preserve">Bill To:</w:t>
      </w:r>
    </w:p>
    <w:p>
      <w:pPr>
        <w:pStyle w:val="FirstParagraph"/>
      </w:pPr>
      <w:r>
        <w:rPr>
          <w:bCs/>
          <w:b/>
        </w:rPr>
        <w:t xml:space="preserve">Telekom Berlin Enterprise Solutions AG</w:t>
      </w:r>
    </w:p>
    <w:p>
      <w:pPr>
        <w:pStyle w:val="BodyText"/>
      </w:pPr>
      <w:r>
        <w:t xml:space="preserve">Attention: Procurement Department</w:t>
      </w:r>
    </w:p>
    <w:p>
      <w:pPr>
        <w:pStyle w:val="BodyText"/>
      </w:pPr>
      <w:r>
        <w:t xml:space="preserve">Charlottenstraße 45, 10117 Berlin, Germany</w:t>
      </w:r>
    </w:p>
    <w:p>
      <w:pPr>
        <w:pStyle w:val="BodyText"/>
      </w:pPr>
      <w:r>
        <w:t xml:space="preserve">USt-IdNr.: DE987654321</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Berlin-Mitte Data Center Hub</w:t>
      </w:r>
    </w:p>
    <w:p>
      <w:pPr>
        <w:pStyle w:val="BodyText"/>
      </w:pPr>
      <w:r>
        <w:rPr>
          <w:bCs/>
          <w:b/>
        </w:rPr>
        <w:t xml:space="preserve">Service Type:</w:t>
      </w:r>
      <w:r>
        <w:t xml:space="preserve"> </w:t>
      </w:r>
      <w:r>
        <w:t xml:space="preserve">Telecommunication Engineer Consultation &amp; Implementation</w:t>
      </w:r>
    </w:p>
    <w:p>
      <w:pPr>
        <w:pStyle w:val="BodyText"/>
      </w:pPr>
      <w:r>
        <w:rPr>
          <w:bCs/>
          <w:b/>
        </w:rPr>
        <w:t xml:space="preserve">Contract ID:</w:t>
      </w:r>
      <w:r>
        <w:t xml:space="preserve"> </w:t>
      </w:r>
      <w:r>
        <w:t xml:space="preserve">TC-BER-2023-009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Telecommunication Engineer - Network Architecture Design</w:t>
            </w:r>
            <w:r>
              <w:br/>
            </w:r>
            <w:r>
              <w:t xml:space="preserve">Comprehensive analysis and design of the new fiber-optic backbone infrastructure for the Berlin-Mitte facility. Includes topology mapping, bandwidth requirement analysis, and redundancy planning compliant with German telecommunications standards (TKV).</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Telecommunication Engineer - On-Site Implementation &amp; Supervision</w:t>
            </w:r>
            <w:r>
              <w:br/>
            </w:r>
            <w:r>
              <w:t xml:space="preserve">Direct supervision of the physical installation of optical distribution frames (ODF) and patch panels. Ensuring all cabling meets strict fire safety regulations (Brandschutz) specific to Berlin commercial buildings. Includes coordination with local utility providers.</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3</w:t>
            </w:r>
          </w:p>
        </w:tc>
        <w:tc>
          <w:tcPr/>
          <w:p>
            <w:pPr>
              <w:pStyle w:val="Compact"/>
              <w:jc w:val="left"/>
            </w:pPr>
            <w:r>
              <w:rPr>
                <w:bCs/>
                <w:b/>
              </w:rPr>
              <w:t xml:space="preserve">Telecommunication Engineer - Signal Testing &amp; Optimization</w:t>
            </w:r>
            <w:r>
              <w:br/>
            </w:r>
            <w:r>
              <w:t xml:space="preserve">Utilization of OTDR (Optical Time-Domain Reflectometer) and spectrum analyzers to test signal integrity across the new network segments. Troubleshooting attenuation issues and optimizing signal-to-noise ratios for high-frequency data transmission.</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4</w:t>
            </w:r>
          </w:p>
        </w:tc>
        <w:tc>
          <w:tcPr/>
          <w:p>
            <w:pPr>
              <w:pStyle w:val="Compact"/>
              <w:jc w:val="left"/>
            </w:pPr>
            <w:r>
              <w:rPr>
                <w:bCs/>
                <w:b/>
              </w:rPr>
              <w:t xml:space="preserve">Telecommunication Engineer - Regulatory Compliance Documentation</w:t>
            </w:r>
            <w:r>
              <w:br/>
            </w:r>
            <w:r>
              <w:t xml:space="preserve">Preparation of technical documentation required by the Bundesnetzagentur (Federal Network Agency). Includes frequency usage reports, interference mitigation strategies, and safety certifications for the installed telecommunications equipment in Germany Berlin.</w:t>
            </w:r>
          </w:p>
        </w:tc>
        <w:tc>
          <w:tcPr/>
          <w:p>
            <w:pPr>
              <w:pStyle w:val="Compact"/>
              <w:jc w:val="left"/>
            </w:pPr>
            <w:r>
              <w:t xml:space="preserve">15</w:t>
            </w:r>
          </w:p>
        </w:tc>
        <w:tc>
          <w:tcPr/>
          <w:p>
            <w:pPr>
              <w:pStyle w:val="Compact"/>
              <w:jc w:val="left"/>
            </w:pPr>
            <w:r>
              <w:t xml:space="preserve">115.00</w:t>
            </w:r>
          </w:p>
        </w:tc>
        <w:tc>
          <w:tcPr/>
          <w:p>
            <w:pPr>
              <w:pStyle w:val="Compact"/>
              <w:jc w:val="left"/>
            </w:pPr>
            <w:r>
              <w:t xml:space="preserve">1,725.00</w:t>
            </w:r>
          </w:p>
        </w:tc>
      </w:tr>
      <w:tr>
        <w:tc>
          <w:tcPr/>
          <w:p>
            <w:pPr>
              <w:pStyle w:val="Compact"/>
              <w:jc w:val="left"/>
            </w:pPr>
            <w:r>
              <w:t xml:space="preserve">5</w:t>
            </w:r>
          </w:p>
        </w:tc>
        <w:tc>
          <w:tcPr/>
          <w:p>
            <w:pPr>
              <w:pStyle w:val="Compact"/>
              <w:jc w:val="left"/>
            </w:pPr>
            <w:r>
              <w:rPr>
                <w:bCs/>
                <w:b/>
              </w:rPr>
              <w:t xml:space="preserve">Telecommunication Engineer - Client Training &amp; Handover</w:t>
            </w:r>
            <w:r>
              <w:br/>
            </w:r>
            <w:r>
              <w:t xml:space="preserve">Conducting a two-day workshop for the client's IT staff on network management, fault isolation, and maintenance procedures. Includes provision of detailed as-built drawings and operational manuals tailored to the Berlin site infrastructure.</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18,375.00 EUR</w:t>
            </w:r>
          </w:p>
        </w:tc>
      </w:tr>
      <w:tr>
        <w:tc>
          <w:tcPr/>
          <w:p>
            <w:pPr>
              <w:pStyle w:val="Compact"/>
              <w:jc w:val="left"/>
            </w:pPr>
            <w:r>
              <w:t xml:space="preserve">VAT (19% - Germany Standard Rate):</w:t>
            </w:r>
          </w:p>
        </w:tc>
        <w:tc>
          <w:tcPr/>
          <w:p>
            <w:pPr>
              <w:pStyle w:val="Compact"/>
              <w:jc w:val="left"/>
            </w:pPr>
            <w:r>
              <w:t xml:space="preserve">3,491.25 EUR</w:t>
            </w:r>
          </w:p>
        </w:tc>
      </w:tr>
      <w:tr>
        <w:tc>
          <w:tcPr/>
          <w:p>
            <w:pPr>
              <w:pStyle w:val="Compact"/>
              <w:jc w:val="left"/>
            </w:pPr>
            <w:r>
              <w:rPr>
                <w:bCs/>
                <w:b/>
              </w:rPr>
              <w:t xml:space="preserve">Total Amount Due:</w:t>
            </w:r>
          </w:p>
        </w:tc>
        <w:tc>
          <w:tcPr/>
          <w:p>
            <w:pPr>
              <w:pStyle w:val="Compact"/>
              <w:jc w:val="left"/>
            </w:pPr>
            <w:r>
              <w:rPr>
                <w:bCs/>
                <w:b/>
              </w:rPr>
              <w:t xml:space="preserve">21,866.25 EUR</w:t>
            </w:r>
          </w:p>
        </w:tc>
      </w:tr>
    </w:tbl>
    <w:bookmarkStart w:id="24"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21,866.25 EUR</w:t>
      </w:r>
      <w:r>
        <w:t xml:space="preserve"> </w:t>
      </w:r>
      <w:r>
        <w:t xml:space="preserve">within 30 days of the invoice date.</w:t>
      </w:r>
    </w:p>
    <w:p>
      <w:pPr>
        <w:pStyle w:val="BodyText"/>
      </w:pPr>
      <w:r>
        <w:rPr>
          <w:bCs/>
          <w:b/>
        </w:rPr>
        <w:t xml:space="preserve">Bank Name:</w:t>
      </w:r>
      <w:r>
        <w:t xml:space="preserve"> </w:t>
      </w:r>
      <w:r>
        <w:t xml:space="preserve">Deutsche Bank AG Berlin</w:t>
      </w:r>
    </w:p>
    <w:p>
      <w:pPr>
        <w:pStyle w:val="BodyText"/>
      </w:pPr>
      <w:r>
        <w:rPr>
          <w:bCs/>
          <w:b/>
        </w:rPr>
        <w:t xml:space="preserve">Account Holder:</w:t>
      </w:r>
      <w:r>
        <w:t xml:space="preserve"> </w:t>
      </w:r>
      <w:r>
        <w:t xml:space="preserve">NetConnect Engineering GmbH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INV-2023-10-045</w:t>
      </w:r>
    </w:p>
    <w:p>
      <w:pPr>
        <w:pStyle w:val="BodyText"/>
      </w:pPr>
      <w:r>
        <w:rPr>
          <w:iCs/>
          <w:i/>
        </w:rPr>
        <w:t xml:space="preserve">Note: Please include the invoice number as the payment reference to ensure proper allocation.</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will incur interest at the statutory rate plus 5%.</w:t>
      </w:r>
    </w:p>
    <w:p>
      <w:pPr>
        <w:pStyle w:val="BodyText"/>
      </w:pPr>
      <w:r>
        <w:t xml:space="preserve">2. All services provided by the Telecommunication Engineer are subject to the general terms and conditions of NetConnect Engineering GmbH.</w:t>
      </w:r>
    </w:p>
    <w:p>
      <w:pPr>
        <w:pStyle w:val="BodyText"/>
      </w:pPr>
      <w:r>
        <w:t xml:space="preserve">3. This invoice is issued in accordance with the German Commercial Code (HGB) and the German Tax Code (AO).</w:t>
      </w:r>
    </w:p>
    <w:p>
      <w:pPr>
        <w:pStyle w:val="BodyText"/>
      </w:pPr>
      <w:r>
        <w:t xml:space="preserve">4. Any disputes regarding the services rendered must be reported within 14 days of receipt of this invoice.</w:t>
      </w:r>
    </w:p>
    <w:p>
      <w:pPr>
        <w:pStyle w:val="BodyText"/>
      </w:pPr>
      <w:r>
        <w:t xml:space="preserve">5. The Telecommunication Engineer guarantees the workmanship for a period of 24 months from the date of project completion.</w:t>
      </w:r>
    </w:p>
    <w:p>
      <w:pPr>
        <w:pStyle w:val="BodyText"/>
      </w:pPr>
      <w:r>
        <w:t xml:space="preserve">6. This document serves as a formal request for payment for professional engineering services rendered in Germany Berlin.</w:t>
      </w:r>
    </w:p>
    <w:bookmarkEnd w:id="25"/>
    <w:p>
      <w:pPr>
        <w:pStyle w:val="BodyText"/>
      </w:pPr>
      <w:r>
        <w:t xml:space="preserve">NetConnect Engineering GmbH is a registered company in Berlin, Germany, specializing in advanced telecommunications infrastructure. Our team of certified Telecommunication Engineers ensures that all projects meet the highest standards of quality, safety, and regulatory compliance. This invoice reflects the professional fees for the engineering hours, technical expertise, and specialized equipment usage required to deliver the specified telecommunications solutions. By issuing this invoice, we confirm that the services described have been completed to the satisfaction of the project manager and in alignment with the contractual obligations agreed upon for the Berlin-Mitte Data Center Hub project. We appreciate your business and look forward to continuing our partnership in advancing the telecommunications landscape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2026-10-10T04:32:07Z</dcterms:created>
  <dcterms:modified xsi:type="dcterms:W3CDTF">2026-10-10T04:32:07Z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