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Telecommunication</w:t>
      </w:r>
      <w:r>
        <w:t xml:space="preserve"> </w:t>
      </w:r>
      <w:r>
        <w:t xml:space="preserve">Engineer</w:t>
      </w:r>
      <w:r>
        <w:t xml:space="preserve"> </w:t>
      </w:r>
      <w:r>
        <w:t xml:space="preserve">Services</w:t>
      </w:r>
      <w:r>
        <w:t xml:space="preserve"> </w:t>
      </w:r>
      <w:r>
        <w:t xml:space="preserve">-</w:t>
      </w:r>
      <w:r>
        <w:t xml:space="preserve"> </w:t>
      </w:r>
      <w:r>
        <w:t xml:space="preserve">Saint</w:t>
      </w:r>
      <w:r>
        <w:t xml:space="preserve"> </w:t>
      </w:r>
      <w:r>
        <w:t xml:space="preserve">Petersburg,</w:t>
      </w:r>
      <w:r>
        <w:t xml:space="preserve"> </w:t>
      </w:r>
      <w:r>
        <w:t xml:space="preserve">Russia</w:t>
      </w:r>
    </w:p>
    <w:bookmarkStart w:id="20" w:name="neva-telecom-solutions-llc"/>
    <w:p>
      <w:pPr>
        <w:pStyle w:val="Heading1"/>
      </w:pPr>
      <w:r>
        <w:t xml:space="preserve">NEVA TELECOM SOLUTIONS LLC</w:t>
      </w:r>
    </w:p>
    <w:p>
      <w:pPr>
        <w:pStyle w:val="FirstParagraph"/>
      </w:pPr>
      <w:r>
        <w:t xml:space="preserve">Professional Telecommunication Engineering Services</w:t>
      </w:r>
    </w:p>
    <w:p>
      <w:pPr>
        <w:pStyle w:val="BodyText"/>
      </w:pPr>
      <w:r>
        <w:t xml:space="preserve">191025, Russia, Saint Petersburg</w:t>
      </w:r>
    </w:p>
    <w:p>
      <w:pPr>
        <w:pStyle w:val="BodyText"/>
      </w:pPr>
      <w:r>
        <w:t xml:space="preserve">Nevsky Prospekt, 120, Office 4B</w:t>
      </w:r>
    </w:p>
    <w:p>
      <w:pPr>
        <w:pStyle w:val="BodyText"/>
      </w:pPr>
      <w:r>
        <w:t xml:space="preserve">Tax ID (INN): 7801234567</w:t>
      </w:r>
    </w:p>
    <w:p>
      <w:pPr>
        <w:pStyle w:val="BodyText"/>
      </w:pPr>
      <w:r>
        <w:t xml:space="preserve">Email: billing@nevatelcom.ru</w:t>
      </w:r>
    </w:p>
    <w:p>
      <w:pPr>
        <w:pStyle w:val="BodyText"/>
      </w:pPr>
      <w:r>
        <w:t xml:space="preserve">Phone: +7 (812) 555-01-99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INV-RU-SPB-2023-089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Northern District Logistics Group</w:t>
      </w:r>
    </w:p>
    <w:p>
      <w:pPr>
        <w:pStyle w:val="BodyText"/>
      </w:pPr>
      <w:r>
        <w:rPr>
          <w:bCs/>
          <w:b/>
        </w:rPr>
        <w:t xml:space="preserve">Address:</w:t>
      </w:r>
      <w:r>
        <w:t xml:space="preserve"> </w:t>
      </w:r>
      <w:r>
        <w:t xml:space="preserve">197101, Russia, Saint Petersburg</w:t>
      </w:r>
    </w:p>
    <w:p>
      <w:pPr>
        <w:pStyle w:val="BodyText"/>
      </w:pPr>
      <w:r>
        <w:t xml:space="preserve">Komsomolsky Avenue, 34</w:t>
      </w:r>
    </w:p>
    <w:p>
      <w:pPr>
        <w:pStyle w:val="BodyText"/>
      </w:pPr>
      <w:r>
        <w:rPr>
          <w:bCs/>
          <w:b/>
        </w:rPr>
        <w:t xml:space="preserve">Contact Person:</w:t>
      </w:r>
      <w:r>
        <w:t xml:space="preserve"> </w:t>
      </w:r>
      <w:r>
        <w:t xml:space="preserve">Mr. Alexander Volkov</w:t>
      </w:r>
    </w:p>
    <w:p>
      <w:pPr>
        <w:pStyle w:val="BodyText"/>
      </w:pPr>
      <w:r>
        <w:rPr>
          <w:bCs/>
          <w:b/>
        </w:rPr>
        <w:t xml:space="preserve">Email:</w:t>
      </w:r>
      <w:r>
        <w:t xml:space="preserve"> </w:t>
      </w:r>
      <w:r>
        <w:t xml:space="preserve">a.volkov@nordlogistics.ru</w:t>
      </w:r>
    </w:p>
    <w:bookmarkEnd w:id="22"/>
    <w:bookmarkStart w:id="23" w:name="project-reference"/>
    <w:p>
      <w:pPr>
        <w:pStyle w:val="Heading3"/>
      </w:pPr>
      <w:r>
        <w:t xml:space="preserve">Project Reference:</w:t>
      </w:r>
    </w:p>
    <w:p>
      <w:pPr>
        <w:pStyle w:val="FirstParagraph"/>
      </w:pPr>
      <w:r>
        <w:rPr>
          <w:bCs/>
          <w:b/>
        </w:rPr>
        <w:t xml:space="preserve">Project Name:</w:t>
      </w:r>
      <w:r>
        <w:t xml:space="preserve"> </w:t>
      </w:r>
      <w:r>
        <w:t xml:space="preserve">Fiber Optic Backbone Upgrade - Saint Petersburg Hub</w:t>
      </w:r>
    </w:p>
    <w:p>
      <w:pPr>
        <w:pStyle w:val="BodyText"/>
      </w:pPr>
      <w:r>
        <w:rPr>
          <w:bCs/>
          <w:b/>
        </w:rPr>
        <w:t xml:space="preserve">Service Period:</w:t>
      </w:r>
      <w:r>
        <w:t xml:space="preserve"> </w:t>
      </w:r>
      <w:r>
        <w:t xml:space="preserve">October 01, 2023 - October 20, 2023</w:t>
      </w:r>
    </w:p>
    <w:p>
      <w:pPr>
        <w:pStyle w:val="BodyText"/>
      </w:pPr>
      <w:r>
        <w:rPr>
          <w:bCs/>
          <w:b/>
        </w:rPr>
        <w:t xml:space="preserve">Location:</w:t>
      </w:r>
      <w:r>
        <w:t xml:space="preserve"> </w:t>
      </w:r>
      <w:r>
        <w:t xml:space="preserve">Saint Petersburg, Russia (Industrial Zone)</w:t>
      </w:r>
    </w:p>
    <w:p>
      <w:pPr>
        <w:pStyle w:val="BodyText"/>
      </w:pPr>
      <w:r>
        <w:rPr>
          <w:bCs/>
          <w:b/>
        </w:rPr>
        <w:t xml:space="preserve">Currency:</w:t>
      </w:r>
      <w:r>
        <w:t xml:space="preserve"> </w:t>
      </w:r>
      <w:r>
        <w:t xml:space="preserve">Russian Ruble (RUB)</w:t>
      </w:r>
    </w:p>
    <w:bookmarkEnd w:id="23"/>
    <w:p>
      <w:pPr>
        <w:pStyle w:val="BodyText"/>
      </w:pPr>
      <w:r>
        <w:rPr>
          <w:bCs/>
          <w:b/>
        </w:rPr>
        <w:t xml:space="preserve">Scope of Work Description:</w:t>
      </w:r>
    </w:p>
    <w:p>
      <w:pPr>
        <w:pStyle w:val="BodyText"/>
      </w:pPr>
      <w:r>
        <w:t xml:space="preserve">This Invoice represents the professional services rendered by a Senior Telecommunication Engineer specializing in high-speed data transmission infrastructure. The work was conducted strictly within the jurisdiction of Saint Petersburg, Russia, adhering to local telecommunications regulations and safety standards. The primary objective was the deployment and optimization of a fiber-optic network to support increased bandwidth requirements for the client's logistics operations.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1</w:t>
            </w:r>
          </w:p>
        </w:tc>
        <w:tc>
          <w:tcPr/>
          <w:p>
            <w:pPr>
              <w:pStyle w:val="Compact"/>
              <w:jc w:val="left"/>
            </w:pPr>
            <w:r>
              <w:rPr>
                <w:bCs/>
                <w:b/>
              </w:rPr>
              <w:t xml:space="preserve">Site Survey and Topology Design:</w:t>
            </w:r>
            <w:r>
              <w:br/>
            </w:r>
            <w:r>
              <w:t xml:space="preserve">Comprehensive analysis of the existing telecommunication infrastructure at the Saint Petersburg facility. This included mapping current cabling routes, identifying signal interference points, and designing a new fiber-optic topology compliant with Russian GOST standards.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rPr>
                <w:bCs/>
                <w:b/>
              </w:rPr>
              <w:t xml:space="preserve">Fiber Optic Cable Installation:</w:t>
            </w:r>
            <w:r>
              <w:br/>
            </w:r>
            <w:r>
              <w:t xml:space="preserve">Physical deployment of single-mode fiber optic cables (OS2) across the warehouse and administrative sectors. Services included trenching, conduit installation, and cable pulling within the Saint Petersburg industrial site boundaries.</w:t>
            </w:r>
          </w:p>
        </w:tc>
        <w:tc>
          <w:tcPr/>
          <w:p>
            <w:pPr>
              <w:pStyle w:val="Compact"/>
              <w:jc w:val="left"/>
            </w:pPr>
            <w:r>
              <w:t xml:space="preserve">120 hrs</w:t>
            </w:r>
          </w:p>
        </w:tc>
        <w:tc>
          <w:tcPr/>
          <w:p>
            <w:pPr>
              <w:pStyle w:val="Compact"/>
              <w:jc w:val="left"/>
            </w:pPr>
            <w:r>
              <w:t xml:space="preserve">2,500.00</w:t>
            </w:r>
          </w:p>
        </w:tc>
        <w:tc>
          <w:tcPr/>
          <w:p>
            <w:pPr>
              <w:pStyle w:val="Compact"/>
              <w:jc w:val="left"/>
            </w:pPr>
            <w:r>
              <w:t xml:space="preserve">300,000.00</w:t>
            </w:r>
          </w:p>
        </w:tc>
      </w:tr>
      <w:tr>
        <w:tc>
          <w:tcPr/>
          <w:p>
            <w:pPr>
              <w:pStyle w:val="Compact"/>
              <w:jc w:val="left"/>
            </w:pPr>
            <w:r>
              <w:t xml:space="preserve">3</w:t>
            </w:r>
          </w:p>
        </w:tc>
        <w:tc>
          <w:tcPr/>
          <w:p>
            <w:pPr>
              <w:pStyle w:val="Compact"/>
              <w:jc w:val="left"/>
            </w:pPr>
            <w:r>
              <w:rPr>
                <w:bCs/>
                <w:b/>
              </w:rPr>
              <w:t xml:space="preserve">Splicing and Termination:</w:t>
            </w:r>
            <w:r>
              <w:br/>
            </w:r>
            <w:r>
              <w:t xml:space="preserve">Precision fusion splicing of fiber optic strands and termination at patch panels. Ensured low-loss connections critical for high-speed data transmission. Included testing with Optical Time-Domain Reflectometer (OTDR).</w:t>
            </w:r>
          </w:p>
        </w:tc>
        <w:tc>
          <w:tcPr/>
          <w:p>
            <w:pPr>
              <w:pStyle w:val="Compact"/>
              <w:jc w:val="left"/>
            </w:pPr>
            <w:r>
              <w:t xml:space="preserve">40 hrs</w:t>
            </w:r>
          </w:p>
        </w:tc>
        <w:tc>
          <w:tcPr/>
          <w:p>
            <w:pPr>
              <w:pStyle w:val="Compact"/>
              <w:jc w:val="left"/>
            </w:pPr>
            <w:r>
              <w:t xml:space="preserve">3,200.00</w:t>
            </w:r>
          </w:p>
        </w:tc>
        <w:tc>
          <w:tcPr/>
          <w:p>
            <w:pPr>
              <w:pStyle w:val="Compact"/>
              <w:jc w:val="left"/>
            </w:pPr>
            <w:r>
              <w:t xml:space="preserve">128,000.00</w:t>
            </w:r>
          </w:p>
        </w:tc>
      </w:tr>
      <w:tr>
        <w:tc>
          <w:tcPr/>
          <w:p>
            <w:pPr>
              <w:pStyle w:val="Compact"/>
              <w:jc w:val="left"/>
            </w:pPr>
            <w:r>
              <w:t xml:space="preserve">4</w:t>
            </w:r>
          </w:p>
        </w:tc>
        <w:tc>
          <w:tcPr/>
          <w:p>
            <w:pPr>
              <w:pStyle w:val="Compact"/>
              <w:jc w:val="left"/>
            </w:pPr>
            <w:r>
              <w:rPr>
                <w:bCs/>
                <w:b/>
              </w:rPr>
              <w:t xml:space="preserve">Network Configuration and Optimization:</w:t>
            </w:r>
            <w:r>
              <w:br/>
            </w:r>
            <w:r>
              <w:t xml:space="preserve">Configuration of optical network terminals (ONT) and routers. Optimization of bandwidth allocation and Quality of Service (QoS) settings to prioritize logistics data traffic.</w:t>
            </w:r>
          </w:p>
        </w:tc>
        <w:tc>
          <w:tcPr/>
          <w:p>
            <w:pPr>
              <w:pStyle w:val="Compact"/>
              <w:jc w:val="left"/>
            </w:pPr>
            <w:r>
              <w:t xml:space="preserve">16 hrs</w:t>
            </w:r>
          </w:p>
        </w:tc>
        <w:tc>
          <w:tcPr/>
          <w:p>
            <w:pPr>
              <w:pStyle w:val="Compact"/>
              <w:jc w:val="left"/>
            </w:pPr>
            <w:r>
              <w:t xml:space="preserve">3,500.00</w:t>
            </w:r>
          </w:p>
        </w:tc>
        <w:tc>
          <w:tcPr/>
          <w:p>
            <w:pPr>
              <w:pStyle w:val="Compact"/>
              <w:jc w:val="left"/>
            </w:pPr>
            <w:r>
              <w:t xml:space="preserve">56,000.00</w:t>
            </w:r>
          </w:p>
        </w:tc>
      </w:tr>
      <w:tr>
        <w:tc>
          <w:tcPr/>
          <w:p>
            <w:pPr>
              <w:pStyle w:val="Compact"/>
              <w:jc w:val="left"/>
            </w:pPr>
            <w:r>
              <w:t xml:space="preserve">5</w:t>
            </w:r>
          </w:p>
        </w:tc>
        <w:tc>
          <w:tcPr/>
          <w:p>
            <w:pPr>
              <w:pStyle w:val="Compact"/>
              <w:jc w:val="left"/>
            </w:pPr>
            <w:r>
              <w:rPr>
                <w:bCs/>
                <w:b/>
              </w:rPr>
              <w:t xml:space="preserve">Compliance and Documentation:</w:t>
            </w:r>
            <w:r>
              <w:br/>
            </w:r>
            <w:r>
              <w:t xml:space="preserve">Preparation of technical documentation required for regulatory compliance in Russia. Includes as-built drawings, test reports, and safety certifications for the telecommunication installation.</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bl>
    <w:p>
      <w:pPr>
        <w:pStyle w:val="BodyText"/>
      </w:pPr>
      <w:r>
        <w:t xml:space="preserve">Subtotal:</w:t>
      </w:r>
      <w:r>
        <w:t xml:space="preserve"> </w:t>
      </w:r>
      <w:r>
        <w:t xml:space="preserve">554,000.00 RUB</w:t>
      </w:r>
    </w:p>
    <w:p>
      <w:pPr>
        <w:pStyle w:val="BodyText"/>
      </w:pPr>
      <w:r>
        <w:t xml:space="preserve">VAT (20% - Russia Standard Rate):</w:t>
      </w:r>
      <w:r>
        <w:t xml:space="preserve"> </w:t>
      </w:r>
      <w:r>
        <w:t xml:space="preserve">110,800.00 RUB</w:t>
      </w:r>
    </w:p>
    <w:p>
      <w:pPr>
        <w:pStyle w:val="BodyText"/>
      </w:pPr>
      <w:r>
        <w:t xml:space="preserve">TOTAL AMOUNT DUE:</w:t>
      </w:r>
      <w:r>
        <w:t xml:space="preserve"> </w:t>
      </w:r>
      <w:r>
        <w:t xml:space="preserve">664,800.00 RUB</w:t>
      </w:r>
    </w:p>
    <w:bookmarkStart w:id="24" w:name="payment-instructions"/>
    <w:p>
      <w:pPr>
        <w:pStyle w:val="Heading3"/>
      </w:pPr>
      <w:r>
        <w:t xml:space="preserve">Payment Instructions</w:t>
      </w:r>
    </w:p>
    <w:p>
      <w:pPr>
        <w:pStyle w:val="FirstParagraph"/>
      </w:pPr>
      <w:r>
        <w:t xml:space="preserve">Please transfer the total amount of</w:t>
      </w:r>
      <w:r>
        <w:t xml:space="preserve"> </w:t>
      </w:r>
      <w:r>
        <w:rPr>
          <w:bCs/>
          <w:b/>
        </w:rPr>
        <w:t xml:space="preserve">664,800.00 RUB</w:t>
      </w:r>
      <w:r>
        <w:t xml:space="preserve"> </w:t>
      </w:r>
      <w:r>
        <w:t xml:space="preserve">within 14 days of the invoice date to avoid late fees.</w:t>
      </w:r>
    </w:p>
    <w:p>
      <w:pPr>
        <w:pStyle w:val="BodyText"/>
      </w:pPr>
      <w:r>
        <w:rPr>
          <w:bCs/>
          <w:b/>
        </w:rPr>
        <w:t xml:space="preserve">Bank Name:</w:t>
      </w:r>
      <w:r>
        <w:t xml:space="preserve"> </w:t>
      </w:r>
      <w:r>
        <w:t xml:space="preserve">Sberbank of Russia</w:t>
      </w:r>
    </w:p>
    <w:p>
      <w:pPr>
        <w:pStyle w:val="BodyText"/>
      </w:pPr>
      <w:r>
        <w:rPr>
          <w:bCs/>
          <w:b/>
        </w:rPr>
        <w:t xml:space="preserve">Account Name:</w:t>
      </w:r>
      <w:r>
        <w:t xml:space="preserve"> </w:t>
      </w:r>
      <w:r>
        <w:t xml:space="preserve">Neva Telecom Solutions LLC</w:t>
      </w:r>
    </w:p>
    <w:p>
      <w:pPr>
        <w:pStyle w:val="BodyText"/>
      </w:pPr>
      <w:r>
        <w:rPr>
          <w:bCs/>
          <w:b/>
        </w:rPr>
        <w:t xml:space="preserve">Account Number:</w:t>
      </w:r>
      <w:r>
        <w:t xml:space="preserve"> </w:t>
      </w:r>
      <w:r>
        <w:t xml:space="preserve">40702810000000012345</w:t>
      </w:r>
    </w:p>
    <w:p>
      <w:pPr>
        <w:pStyle w:val="BodyText"/>
      </w:pPr>
      <w:r>
        <w:rPr>
          <w:bCs/>
          <w:b/>
        </w:rPr>
        <w:t xml:space="preserve">BIC/SWIFT:</w:t>
      </w:r>
      <w:r>
        <w:t xml:space="preserve"> </w:t>
      </w:r>
      <w:r>
        <w:t xml:space="preserve">SABRRUMM</w:t>
      </w:r>
    </w:p>
    <w:p>
      <w:pPr>
        <w:pStyle w:val="BodyText"/>
      </w:pPr>
      <w:r>
        <w:rPr>
          <w:bCs/>
          <w:b/>
        </w:rPr>
        <w:t xml:space="preserve">Correspondent Account:</w:t>
      </w:r>
      <w:r>
        <w:t xml:space="preserve"> </w:t>
      </w:r>
      <w:r>
        <w:t xml:space="preserve">30101810400000000225</w:t>
      </w:r>
    </w:p>
    <w:p>
      <w:pPr>
        <w:pStyle w:val="BodyText"/>
      </w:pPr>
      <w:r>
        <w:rPr>
          <w:bCs/>
          <w:b/>
        </w:rPr>
        <w:t xml:space="preserve">Reference:</w:t>
      </w:r>
      <w:r>
        <w:t xml:space="preserve"> </w:t>
      </w:r>
      <w:r>
        <w:t xml:space="preserve">INV-RU-SPB-2023-089</w:t>
      </w:r>
    </w:p>
    <w:bookmarkEnd w:id="24"/>
    <w:bookmarkStart w:id="25" w:name="terms-and-conditions"/>
    <w:p>
      <w:pPr>
        <w:pStyle w:val="Heading3"/>
      </w:pPr>
      <w:r>
        <w:t xml:space="preserve">Terms and Conditions</w:t>
      </w:r>
    </w:p>
    <w:p>
      <w:pPr>
        <w:numPr>
          <w:ilvl w:val="0"/>
          <w:numId w:val="1001"/>
        </w:numPr>
        <w:pStyle w:val="Compact"/>
      </w:pPr>
      <w:r>
        <w:rPr>
          <w:bCs/>
          <w:b/>
        </w:rPr>
        <w:t xml:space="preserve">Payment Terms:</w:t>
      </w:r>
      <w:r>
        <w:t xml:space="preserve"> </w:t>
      </w:r>
      <w:r>
        <w:t xml:space="preserve">Payment is due within 14 days of the invoice date. Late payments will incur a penalty of 0.1% per day on the outstanding balance, in accordance with Russian Civil Code regulations.</w:t>
      </w:r>
    </w:p>
    <w:p>
      <w:pPr>
        <w:numPr>
          <w:ilvl w:val="0"/>
          <w:numId w:val="1001"/>
        </w:numPr>
        <w:pStyle w:val="Compact"/>
      </w:pPr>
      <w:r>
        <w:rPr>
          <w:bCs/>
          <w:b/>
        </w:rPr>
        <w:t xml:space="preserve">Validity:</w:t>
      </w:r>
      <w:r>
        <w:t xml:space="preserve"> </w:t>
      </w:r>
      <w:r>
        <w:t xml:space="preserve">This Invoice is valid for 30 days from the date of issue. Prices are subject to change after this period.</w:t>
      </w:r>
    </w:p>
    <w:p>
      <w:pPr>
        <w:numPr>
          <w:ilvl w:val="0"/>
          <w:numId w:val="1001"/>
        </w:numPr>
        <w:pStyle w:val="Compact"/>
      </w:pPr>
      <w:r>
        <w:rPr>
          <w:bCs/>
          <w:b/>
        </w:rPr>
        <w:t xml:space="preserve">Scope of Work:</w:t>
      </w:r>
      <w:r>
        <w:t xml:space="preserve"> </w:t>
      </w:r>
      <w:r>
        <w:t xml:space="preserve">All services described herein were performed by a certified Telecommunication Engineer. Any work outside the agreed scope requires a separate Change Order and additional billing.</w:t>
      </w:r>
    </w:p>
    <w:p>
      <w:pPr>
        <w:numPr>
          <w:ilvl w:val="0"/>
          <w:numId w:val="1001"/>
        </w:numPr>
        <w:pStyle w:val="Compact"/>
      </w:pPr>
      <w:r>
        <w:rPr>
          <w:bCs/>
          <w:b/>
        </w:rPr>
        <w:t xml:space="preserve">Warranty:</w:t>
      </w:r>
      <w:r>
        <w:t xml:space="preserve"> </w:t>
      </w:r>
      <w:r>
        <w:t xml:space="preserve">Neva Telecom Solutions LLC provides a 12-month warranty on all installation work and materials used, excluding damage caused by third parties or force majeure events.</w:t>
      </w:r>
    </w:p>
    <w:p>
      <w:pPr>
        <w:numPr>
          <w:ilvl w:val="0"/>
          <w:numId w:val="1001"/>
        </w:numPr>
        <w:pStyle w:val="Compact"/>
      </w:pPr>
      <w:r>
        <w:rPr>
          <w:bCs/>
          <w:b/>
        </w:rPr>
        <w:t xml:space="preserve">Dispute Resolution:</w:t>
      </w:r>
      <w:r>
        <w:t xml:space="preserve"> </w:t>
      </w:r>
      <w:r>
        <w:t xml:space="preserve">Any disputes arising from this Invoice or the services provided shall be resolved through negotiation. If unresolved, disputes will be settled in the courts of Saint Petersburg, Russia.</w:t>
      </w:r>
    </w:p>
    <w:p>
      <w:pPr>
        <w:numPr>
          <w:ilvl w:val="0"/>
          <w:numId w:val="1001"/>
        </w:numPr>
        <w:pStyle w:val="Compact"/>
      </w:pPr>
      <w:r>
        <w:rPr>
          <w:bCs/>
          <w:b/>
        </w:rPr>
        <w:t xml:space="preserve">Confidentiality:</w:t>
      </w:r>
      <w:r>
        <w:t xml:space="preserve"> </w:t>
      </w:r>
      <w:r>
        <w:t xml:space="preserve">All technical data and network configurations provided during this project remain the confidential property of the client. The Telecommunication Engineer agrees to maintain strict confidentiality regarding the client's infrastructure.</w:t>
      </w:r>
    </w:p>
    <w:p>
      <w:pPr>
        <w:numPr>
          <w:ilvl w:val="0"/>
          <w:numId w:val="1001"/>
        </w:numPr>
        <w:pStyle w:val="Compact"/>
      </w:pPr>
      <w:r>
        <w:rPr>
          <w:bCs/>
          <w:b/>
        </w:rPr>
        <w:t xml:space="preserve">Taxation:</w:t>
      </w:r>
      <w:r>
        <w:t xml:space="preserve"> </w:t>
      </w:r>
      <w:r>
        <w:t xml:space="preserve">All prices are exclusive of VAT unless otherwise stated. VAT is calculated at the current statutory rate applicable in the Russian Federation.</w:t>
      </w:r>
    </w:p>
    <w:bookmarkEnd w:id="25"/>
    <w:p>
      <w:pPr>
        <w:pStyle w:val="FirstParagraph"/>
      </w:pPr>
      <w:r>
        <w:rPr>
          <w:bCs/>
          <w:b/>
        </w:rPr>
        <w:t xml:space="preserve">Authorized Signature (Provider)</w:t>
      </w:r>
    </w:p>
    <w:p>
      <w:pPr>
        <w:pStyle w:val="BodyText"/>
      </w:pPr>
      <w:r>
        <w:t xml:space="preserve">Ivan Petrov</w:t>
      </w:r>
    </w:p>
    <w:p>
      <w:pPr>
        <w:pStyle w:val="BodyText"/>
      </w:pPr>
      <w:r>
        <w:t xml:space="preserve">Lead Telecommunication Engineer</w:t>
      </w:r>
    </w:p>
    <w:p>
      <w:pPr>
        <w:pStyle w:val="BodyText"/>
      </w:pPr>
      <w:r>
        <w:t xml:space="preserve">Neva Telecom Solutions LLC</w:t>
      </w:r>
    </w:p>
    <w:p>
      <w:pPr>
        <w:pStyle w:val="BodyText"/>
      </w:pPr>
      <w:r>
        <w:rPr>
          <w:bCs/>
          <w:b/>
        </w:rPr>
        <w:t xml:space="preserve">Authorized Signature (Client)</w:t>
      </w:r>
    </w:p>
    <w:p>
      <w:pPr>
        <w:pStyle w:val="BodyText"/>
      </w:pPr>
      <w:r>
        <w:t xml:space="preserve">Alexander Volkov</w:t>
      </w:r>
    </w:p>
    <w:p>
      <w:pPr>
        <w:pStyle w:val="BodyText"/>
      </w:pPr>
      <w:r>
        <w:t xml:space="preserve">Operations Manager</w:t>
      </w:r>
    </w:p>
    <w:p>
      <w:pPr>
        <w:pStyle w:val="BodyText"/>
      </w:pPr>
      <w:r>
        <w:t xml:space="preserve">Northern District Logistics Group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Telecommunication Engineer Services - Saint Petersburg, Russia</dc:title>
  <dc:creator/>
  <dc:language>en</dc:language>
  <cp:keywords/>
  <dcterms:created xsi:type="dcterms:W3CDTF">2026-10-10T01:59:22Z</dcterms:created>
  <dcterms:modified xsi:type="dcterms:W3CDTF">2026-10-10T01:59:22Z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