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Services</w:t>
      </w:r>
      <w:r>
        <w:t xml:space="preserve"> </w:t>
      </w:r>
      <w:r>
        <w:t xml:space="preserve">Invoice</w:t>
      </w:r>
    </w:p>
    <w:bookmarkStart w:id="20" w:name="barcelona-telecom-solutions-s.l."/>
    <w:p>
      <w:pPr>
        <w:pStyle w:val="Heading1"/>
      </w:pPr>
      <w:r>
        <w:t xml:space="preserve">Barcelona Telecom Solutions S.L.</w:t>
      </w:r>
    </w:p>
    <w:p>
      <w:pPr>
        <w:pStyle w:val="FirstParagraph"/>
      </w:pPr>
      <w:r>
        <w:t xml:space="preserve">Carrer de Balmes, 150, 4th Floor</w:t>
      </w:r>
    </w:p>
    <w:p>
      <w:pPr>
        <w:pStyle w:val="BodyText"/>
      </w:pPr>
      <w:r>
        <w:t xml:space="preserve">08008 Barcelona, Spain</w:t>
      </w:r>
    </w:p>
    <w:p>
      <w:pPr>
        <w:pStyle w:val="BodyText"/>
      </w:pPr>
      <w:r>
        <w:t xml:space="preserve">NIF: B-65432198</w:t>
      </w:r>
    </w:p>
    <w:p>
      <w:pPr>
        <w:pStyle w:val="BodyText"/>
      </w:pPr>
      <w:r>
        <w:t xml:space="preserve">Email: billing@barcelonatelecom.es</w:t>
      </w:r>
    </w:p>
    <w:p>
      <w:pPr>
        <w:pStyle w:val="BodyText"/>
      </w:pPr>
      <w:r>
        <w:t xml:space="preserve">Phone: +34 93 123 45 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Global Logistics Iberia S.A.</w:t>
      </w:r>
    </w:p>
    <w:p>
      <w:pPr>
        <w:pStyle w:val="BodyText"/>
      </w:pPr>
      <w:r>
        <w:t xml:space="preserve">Attn: Procurement Department</w:t>
      </w:r>
    </w:p>
    <w:p>
      <w:pPr>
        <w:pStyle w:val="BodyText"/>
      </w:pPr>
      <w:r>
        <w:t xml:space="preserve">Passeig de Gràcia, 88</w:t>
      </w:r>
    </w:p>
    <w:p>
      <w:pPr>
        <w:pStyle w:val="BodyText"/>
      </w:pPr>
      <w:r>
        <w:t xml:space="preserve">08008 Barcelona, Spain</w:t>
      </w:r>
    </w:p>
    <w:p>
      <w:pPr>
        <w:pStyle w:val="BodyText"/>
      </w:pPr>
      <w:r>
        <w:t xml:space="preserve">NIF: A-12345678</w:t>
      </w:r>
    </w:p>
    <w:bookmarkEnd w:id="22"/>
    <w:bookmarkStart w:id="23" w:name="project-location"/>
    <w:p>
      <w:pPr>
        <w:pStyle w:val="Heading3"/>
      </w:pPr>
      <w:r>
        <w:t xml:space="preserve">Project Location:</w:t>
      </w:r>
    </w:p>
    <w:p>
      <w:pPr>
        <w:pStyle w:val="FirstParagraph"/>
      </w:pPr>
      <w:r>
        <w:rPr>
          <w:bCs/>
          <w:b/>
        </w:rPr>
        <w:t xml:space="preserve">Warehouse Hub B</w:t>
      </w:r>
    </w:p>
    <w:p>
      <w:pPr>
        <w:pStyle w:val="BodyText"/>
      </w:pPr>
      <w:r>
        <w:t xml:space="preserve">Zona Franca, Moll Adossat</w:t>
      </w:r>
    </w:p>
    <w:p>
      <w:pPr>
        <w:pStyle w:val="BodyText"/>
      </w:pPr>
      <w:r>
        <w:t xml:space="preserve">08039 Barcelona, Spain</w:t>
      </w:r>
    </w:p>
    <w:p>
      <w:pPr>
        <w:pStyle w:val="BodyText"/>
      </w:pPr>
      <w:r>
        <w:rPr>
          <w:iCs/>
          <w:i/>
        </w:rPr>
        <w:t xml:space="preserve">Site Contact: Mr. Carlos Ruiz</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IVA (21%)</w:t>
            </w:r>
          </w:p>
        </w:tc>
      </w:tr>
      <w:tr>
        <w:tc>
          <w:tcPr/>
          <w:p>
            <w:pPr>
              <w:pStyle w:val="Compact"/>
              <w:jc w:val="left"/>
            </w:pPr>
            <w:r>
              <w:t xml:space="preserve">1</w:t>
            </w:r>
          </w:p>
        </w:tc>
        <w:tc>
          <w:tcPr/>
          <w:p>
            <w:pPr>
              <w:pStyle w:val="Compact"/>
              <w:jc w:val="left"/>
            </w:pPr>
            <w:r>
              <w:rPr>
                <w:bCs/>
                <w:b/>
              </w:rPr>
              <w:t xml:space="preserve">Senior Telecommunication Engineer Consultation</w:t>
            </w:r>
            <w:r>
              <w:br/>
            </w:r>
            <w:r>
              <w:t xml:space="preserve">Comprehensive site survey and feasibility study for the installation of a private LTE network within the warehouse facility. This service includes spectrum analysis, interference mapping, and the design of a high-availability architecture compliant with Spanish telecommunications regulations (RETIE).</w:t>
            </w:r>
          </w:p>
        </w:tc>
        <w:tc>
          <w:tcPr/>
          <w:p>
            <w:pPr>
              <w:pStyle w:val="Compact"/>
              <w:jc w:val="left"/>
            </w:pPr>
            <w:r>
              <w:t xml:space="preserve">16.0 hrs</w:t>
            </w:r>
          </w:p>
        </w:tc>
        <w:tc>
          <w:tcPr/>
          <w:p>
            <w:pPr>
              <w:pStyle w:val="Compact"/>
              <w:jc w:val="left"/>
            </w:pPr>
            <w:r>
              <w:t xml:space="preserve">120.00</w:t>
            </w:r>
          </w:p>
        </w:tc>
        <w:tc>
          <w:tcPr/>
          <w:p>
            <w:pPr>
              <w:pStyle w:val="Compact"/>
              <w:jc w:val="left"/>
            </w:pPr>
            <w:r>
              <w:t xml:space="preserve">1,920.00</w:t>
            </w:r>
          </w:p>
        </w:tc>
        <w:tc>
          <w:tcPr/>
          <w:p>
            <w:pPr>
              <w:pStyle w:val="Compact"/>
              <w:jc w:val="left"/>
            </w:pPr>
            <w:r>
              <w:t xml:space="preserve">403.20</w:t>
            </w:r>
          </w:p>
        </w:tc>
      </w:tr>
      <w:tr>
        <w:tc>
          <w:tcPr/>
          <w:p>
            <w:pPr>
              <w:pStyle w:val="Compact"/>
              <w:jc w:val="left"/>
            </w:pPr>
            <w:r>
              <w:t xml:space="preserve">2</w:t>
            </w:r>
          </w:p>
        </w:tc>
        <w:tc>
          <w:tcPr/>
          <w:p>
            <w:pPr>
              <w:pStyle w:val="Compact"/>
              <w:jc w:val="left"/>
            </w:pPr>
            <w:r>
              <w:rPr>
                <w:bCs/>
                <w:b/>
              </w:rPr>
              <w:t xml:space="preserve">Fiber Optic Infrastructure Deployment</w:t>
            </w:r>
            <w:r>
              <w:br/>
            </w:r>
            <w:r>
              <w:t xml:space="preserve">Installation and termination of single-mode fiber optic cables connecting the main distribution frame to remote radio heads. Includes trenching, conduit installation, and fusion splicing services performed by certified technicians in Barcelona.</w:t>
            </w:r>
          </w:p>
        </w:tc>
        <w:tc>
          <w:tcPr/>
          <w:p>
            <w:pPr>
              <w:pStyle w:val="Compact"/>
              <w:jc w:val="left"/>
            </w:pPr>
            <w:r>
              <w:t xml:space="preserve">1.0 Lot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945.00</w:t>
            </w:r>
          </w:p>
        </w:tc>
      </w:tr>
      <w:tr>
        <w:tc>
          <w:tcPr/>
          <w:p>
            <w:pPr>
              <w:pStyle w:val="Compact"/>
              <w:jc w:val="left"/>
            </w:pPr>
            <w:r>
              <w:t xml:space="preserve">3</w:t>
            </w:r>
          </w:p>
        </w:tc>
        <w:tc>
          <w:tcPr/>
          <w:p>
            <w:pPr>
              <w:pStyle w:val="Compact"/>
              <w:jc w:val="left"/>
            </w:pPr>
            <w:r>
              <w:rPr>
                <w:bCs/>
                <w:b/>
              </w:rPr>
              <w:t xml:space="preserve">Network Configuration and Optimization</w:t>
            </w:r>
            <w:r>
              <w:br/>
            </w:r>
            <w:r>
              <w:t xml:space="preserve">Configuration of core network elements, including the Evolved Packet Core (EPC) and base station controllers. Optimization of signal propagation to ensure seamless coverage across all operational floors of the logistics center.</w:t>
            </w:r>
          </w:p>
        </w:tc>
        <w:tc>
          <w:tcPr/>
          <w:p>
            <w:pPr>
              <w:pStyle w:val="Compact"/>
              <w:jc w:val="left"/>
            </w:pPr>
            <w:r>
              <w:t xml:space="preserve">24.0 hrs</w:t>
            </w:r>
          </w:p>
        </w:tc>
        <w:tc>
          <w:tcPr/>
          <w:p>
            <w:pPr>
              <w:pStyle w:val="Compact"/>
              <w:jc w:val="left"/>
            </w:pPr>
            <w:r>
              <w:t xml:space="preserve">110.00</w:t>
            </w:r>
          </w:p>
        </w:tc>
        <w:tc>
          <w:tcPr/>
          <w:p>
            <w:pPr>
              <w:pStyle w:val="Compact"/>
              <w:jc w:val="left"/>
            </w:pPr>
            <w:r>
              <w:t xml:space="preserve">2,640.00</w:t>
            </w:r>
          </w:p>
        </w:tc>
        <w:tc>
          <w:tcPr/>
          <w:p>
            <w:pPr>
              <w:pStyle w:val="Compact"/>
              <w:jc w:val="left"/>
            </w:pPr>
            <w:r>
              <w:t xml:space="preserve">554.40</w:t>
            </w:r>
          </w:p>
        </w:tc>
      </w:tr>
      <w:tr>
        <w:tc>
          <w:tcPr/>
          <w:p>
            <w:pPr>
              <w:pStyle w:val="Compact"/>
              <w:jc w:val="left"/>
            </w:pPr>
            <w:r>
              <w:t xml:space="preserve">4</w:t>
            </w:r>
          </w:p>
        </w:tc>
        <w:tc>
          <w:tcPr/>
          <w:p>
            <w:pPr>
              <w:pStyle w:val="Compact"/>
              <w:jc w:val="left"/>
            </w:pPr>
            <w:r>
              <w:rPr>
                <w:bCs/>
                <w:b/>
              </w:rPr>
              <w:t xml:space="preserve">Hardware Supply: Small Cell Nodes</w:t>
            </w:r>
            <w:r>
              <w:br/>
            </w:r>
            <w:r>
              <w:t xml:space="preserve">Supply and integration of 12 industrial-grade small cell nodes designed for high-density IoT connectivity. Equipment includes necessary mounting hardware and power over Ethernet (PoE) injectors.</w:t>
            </w:r>
          </w:p>
        </w:tc>
        <w:tc>
          <w:tcPr/>
          <w:p>
            <w:pPr>
              <w:pStyle w:val="Compact"/>
              <w:jc w:val="left"/>
            </w:pPr>
            <w:r>
              <w:t xml:space="preserve">12.0 Units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882.00</w:t>
            </w:r>
          </w:p>
        </w:tc>
      </w:tr>
      <w:tr>
        <w:tc>
          <w:tcPr/>
          <w:p>
            <w:pPr>
              <w:pStyle w:val="Compact"/>
              <w:jc w:val="left"/>
            </w:pPr>
            <w:r>
              <w:t xml:space="preserve">5</w:t>
            </w:r>
          </w:p>
        </w:tc>
        <w:tc>
          <w:tcPr/>
          <w:p>
            <w:pPr>
              <w:pStyle w:val="Compact"/>
              <w:jc w:val="left"/>
            </w:pPr>
            <w:r>
              <w:rPr>
                <w:bCs/>
                <w:b/>
              </w:rPr>
              <w:t xml:space="preserve">Regulatory Compliance and Documentation</w:t>
            </w:r>
            <w:r>
              <w:br/>
            </w:r>
            <w:r>
              <w:t xml:space="preserve">Preparation of technical documentation required for the Spanish Ministry of Economic Affairs and Digital Transformation. Includes the submission of the Declaration of Conformity for the new telecommunications installation.</w:t>
            </w:r>
          </w:p>
        </w:tc>
        <w:tc>
          <w:tcPr/>
          <w:p>
            <w:pPr>
              <w:pStyle w:val="Compact"/>
              <w:jc w:val="left"/>
            </w:pPr>
            <w:r>
              <w:t xml:space="preserve">1.0 Lot</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168.00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14,060.00 EUR</w:t>
            </w:r>
          </w:p>
        </w:tc>
      </w:tr>
      <w:tr>
        <w:tc>
          <w:tcPr/>
          <w:p>
            <w:pPr>
              <w:pStyle w:val="Compact"/>
              <w:jc w:val="left"/>
            </w:pPr>
            <w:r>
              <w:t xml:space="preserve">IVA (21%):</w:t>
            </w:r>
          </w:p>
        </w:tc>
        <w:tc>
          <w:tcPr/>
          <w:p>
            <w:pPr>
              <w:pStyle w:val="Compact"/>
              <w:jc w:val="left"/>
            </w:pPr>
            <w:r>
              <w:t xml:space="preserve">2,952.60 EUR</w:t>
            </w:r>
          </w:p>
        </w:tc>
      </w:tr>
      <w:tr>
        <w:tc>
          <w:tcPr/>
          <w:p>
            <w:pPr>
              <w:pStyle w:val="Compact"/>
              <w:jc w:val="left"/>
            </w:pPr>
            <w:r>
              <w:t xml:space="preserve">TOTAL DUE:</w:t>
            </w:r>
          </w:p>
        </w:tc>
        <w:tc>
          <w:tcPr/>
          <w:p>
            <w:pPr>
              <w:pStyle w:val="Compact"/>
              <w:jc w:val="left"/>
            </w:pPr>
            <w:r>
              <w:t xml:space="preserve">17,012.60 EUR</w:t>
            </w:r>
          </w:p>
        </w:tc>
      </w:tr>
    </w:tbl>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Banco Santander, S.A.</w:t>
      </w:r>
    </w:p>
    <w:p>
      <w:pPr>
        <w:pStyle w:val="BodyText"/>
      </w:pPr>
      <w:r>
        <w:rPr>
          <w:bCs/>
          <w:b/>
        </w:rPr>
        <w:t xml:space="preserve">IBAN:</w:t>
      </w:r>
      <w:r>
        <w:t xml:space="preserve"> </w:t>
      </w:r>
      <w:r>
        <w:t xml:space="preserve">ES91 0049 0001 2345 6789 0123</w:t>
      </w:r>
    </w:p>
    <w:p>
      <w:pPr>
        <w:pStyle w:val="BodyText"/>
      </w:pPr>
      <w:r>
        <w:rPr>
          <w:bCs/>
          <w:b/>
        </w:rPr>
        <w:t xml:space="preserve">BIC/SWIFT:</w:t>
      </w:r>
      <w:r>
        <w:t xml:space="preserve"> </w:t>
      </w:r>
      <w:r>
        <w:t xml:space="preserve">BSCHESMMXXX</w:t>
      </w:r>
    </w:p>
    <w:p>
      <w:pPr>
        <w:pStyle w:val="BodyText"/>
      </w:pPr>
      <w:r>
        <w:rPr>
          <w:bCs/>
          <w:b/>
        </w:rPr>
        <w:t xml:space="preserve">Reference:</w:t>
      </w:r>
      <w:r>
        <w:t xml:space="preserve"> </w:t>
      </w:r>
      <w:r>
        <w:t xml:space="preserve">INV-2023-10-045</w:t>
      </w:r>
    </w:p>
    <w:bookmarkEnd w:id="24"/>
    <w:bookmarkStart w:id="25" w:name="terms-and-conditions"/>
    <w:p>
      <w:pPr>
        <w:pStyle w:val="Heading4"/>
      </w:pPr>
      <w:r>
        <w:t xml:space="preserve">Terms and Conditions:</w:t>
      </w:r>
    </w:p>
    <w:p>
      <w:pPr>
        <w:pStyle w:val="FirstParagraph"/>
      </w:pPr>
      <w:r>
        <w:t xml:space="preserve">1. This invoice is issued in accordance with the Spanish Tax Agency (Agencia Tributaria) regulations.</w:t>
      </w:r>
    </w:p>
    <w:p>
      <w:pPr>
        <w:pStyle w:val="BodyText"/>
      </w:pPr>
      <w:r>
        <w:t xml:space="preserve">2. Late payments will incur a statutory interest rate of 8% per annum over the Euribor rate, as per Spanish Law 3/2004.</w:t>
      </w:r>
    </w:p>
    <w:p>
      <w:pPr>
        <w:pStyle w:val="BodyText"/>
      </w:pPr>
      <w:r>
        <w:t xml:space="preserve">3. All services provided by our Telecommunication Engineers are guaranteed for a period of 12 months from the date of completion.</w:t>
      </w:r>
    </w:p>
    <w:p>
      <w:pPr>
        <w:pStyle w:val="BodyText"/>
      </w:pPr>
      <w:r>
        <w:t xml:space="preserve">4. Any disputes regarding this invoice must be raised within 15 days of receipt. Failure to do so will result in the invoice being considered accepted.</w:t>
      </w:r>
    </w:p>
    <w:p>
      <w:pPr>
        <w:pStyle w:val="BodyText"/>
      </w:pPr>
      <w:r>
        <w:t xml:space="preserve">5. This document serves as a formal request for payment for professional engineering services rendered in Barcelona, Spain.</w:t>
      </w:r>
    </w:p>
    <w:bookmarkEnd w:id="25"/>
    <w:p>
      <w:pPr>
        <w:pStyle w:val="BodyText"/>
      </w:pPr>
      <w:r>
        <w:t xml:space="preserve">Thank you for your business. We appreciate your trust in Barcelona Telecom Solutions S.L.</w:t>
      </w:r>
    </w:p>
    <w:p>
      <w:pPr>
        <w:pStyle w:val="BodyText"/>
      </w:pPr>
      <w:r>
        <w:t xml:space="preserve">Generated on October 24, 2023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Services Invoice</dc:title>
  <dc:creator/>
  <dc:language>en</dc:language>
  <cp:keywords/>
  <dcterms:created xsi:type="dcterms:W3CDTF">2026-10-10T01:16:54Z</dcterms:created>
  <dcterms:modified xsi:type="dcterms:W3CDTF">2026-10-10T01:16:54Z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